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8185D0">
      <w:pPr>
        <w:spacing w:line="240" w:lineRule="auto"/>
        <w:jc w:val="right"/>
        <w:rPr>
          <w:rFonts w:hint="eastAsia" w:ascii="Times New Roman" w:hAnsi="Times New Roman"/>
        </w:rPr>
      </w:pPr>
      <w:bookmarkStart w:id="172" w:name="_GoBack"/>
      <w:bookmarkEnd w:id="172"/>
      <w:r>
        <w:rPr>
          <w:rFonts w:ascii="Times New Roman" w:hAnsi="Times New Roman"/>
        </w:rPr>
        <w:t xml:space="preserve">                      </w:t>
      </w:r>
      <w:r>
        <w:rPr>
          <w:rFonts w:ascii="Times New Roman" w:hAnsi="Times New Roman"/>
          <w:b/>
          <w:sz w:val="28"/>
          <w:szCs w:val="28"/>
        </w:rPr>
        <w:t>报告编号：</w:t>
      </w:r>
      <w:r>
        <w:rPr>
          <w:rFonts w:hint="eastAsia" w:ascii="Times New Roman" w:hAnsi="Times New Roman"/>
          <w:b/>
          <w:sz w:val="28"/>
          <w:szCs w:val="28"/>
        </w:rPr>
        <w:t>2026-GJTJ-JM-RBI-02</w:t>
      </w:r>
    </w:p>
    <w:p w14:paraId="0BC370B3">
      <w:pPr>
        <w:spacing w:line="240" w:lineRule="auto"/>
        <w:rPr>
          <w:rFonts w:ascii="Times New Roman" w:hAnsi="Times New Roman"/>
        </w:rPr>
      </w:pPr>
    </w:p>
    <w:p w14:paraId="3E2ACA42">
      <w:pPr>
        <w:spacing w:line="240" w:lineRule="auto"/>
        <w:rPr>
          <w:rFonts w:ascii="Times New Roman" w:hAnsi="Times New Roman"/>
        </w:rPr>
      </w:pPr>
    </w:p>
    <w:p w14:paraId="6CA3CA20">
      <w:pPr>
        <w:spacing w:line="240" w:lineRule="auto"/>
        <w:rPr>
          <w:rFonts w:hint="eastAsia" w:ascii="Times New Roman" w:hAnsi="Times New Roman"/>
        </w:rPr>
      </w:pPr>
    </w:p>
    <w:p w14:paraId="6D1E7E7C">
      <w:pPr>
        <w:spacing w:line="240" w:lineRule="auto"/>
        <w:jc w:val="center"/>
        <w:rPr>
          <w:rFonts w:hint="eastAsia" w:ascii="Times New Roman" w:hAnsi="Times New Roman" w:eastAsia="黑体"/>
          <w:bCs/>
          <w:sz w:val="48"/>
          <w:szCs w:val="48"/>
        </w:rPr>
      </w:pPr>
      <w:r>
        <w:rPr>
          <w:rFonts w:hint="eastAsia" w:ascii="Times New Roman" w:hAnsi="Times New Roman" w:eastAsia="黑体"/>
          <w:bCs/>
          <w:sz w:val="48"/>
          <w:szCs w:val="48"/>
        </w:rPr>
        <w:t>中国石油化工股份有限公司荆门分公司</w:t>
      </w:r>
    </w:p>
    <w:p w14:paraId="07B49CAE">
      <w:pPr>
        <w:spacing w:line="240" w:lineRule="auto"/>
        <w:jc w:val="center"/>
        <w:rPr>
          <w:rFonts w:hint="eastAsia" w:ascii="Times New Roman" w:hAnsi="Times New Roman" w:eastAsia="黑体"/>
          <w:sz w:val="48"/>
          <w:szCs w:val="48"/>
        </w:rPr>
      </w:pPr>
      <w:r>
        <w:rPr>
          <w:rFonts w:hint="eastAsia" w:ascii="Times New Roman" w:hAnsi="Times New Roman" w:eastAsia="黑体"/>
          <w:sz w:val="48"/>
          <w:szCs w:val="48"/>
        </w:rPr>
        <w:t>丙烷等装置部分设备</w:t>
      </w:r>
    </w:p>
    <w:p w14:paraId="65430532">
      <w:pPr>
        <w:spacing w:line="240" w:lineRule="auto"/>
        <w:jc w:val="center"/>
        <w:rPr>
          <w:rFonts w:ascii="Times New Roman" w:hAnsi="Times New Roman" w:eastAsia="黑体"/>
          <w:bCs/>
          <w:sz w:val="52"/>
          <w:szCs w:val="52"/>
        </w:rPr>
      </w:pPr>
      <w:r>
        <w:rPr>
          <w:rFonts w:ascii="Times New Roman" w:hAnsi="Times New Roman" w:eastAsia="黑体"/>
          <w:bCs/>
          <w:sz w:val="52"/>
          <w:szCs w:val="52"/>
        </w:rPr>
        <w:t>基于风险的检验</w:t>
      </w:r>
      <w:r>
        <w:rPr>
          <w:rFonts w:hint="eastAsia" w:ascii="Times New Roman" w:hAnsi="Times New Roman" w:eastAsia="黑体"/>
          <w:bCs/>
          <w:sz w:val="52"/>
          <w:szCs w:val="52"/>
        </w:rPr>
        <w:t>（</w:t>
      </w:r>
      <w:r>
        <w:rPr>
          <w:rFonts w:ascii="Times New Roman" w:hAnsi="Times New Roman" w:eastAsia="黑体"/>
          <w:bCs/>
          <w:sz w:val="52"/>
          <w:szCs w:val="52"/>
        </w:rPr>
        <w:t>RBI</w:t>
      </w:r>
      <w:r>
        <w:rPr>
          <w:rFonts w:hint="eastAsia" w:ascii="Times New Roman" w:hAnsi="Times New Roman" w:eastAsia="黑体"/>
          <w:bCs/>
          <w:sz w:val="52"/>
          <w:szCs w:val="52"/>
        </w:rPr>
        <w:t>）</w:t>
      </w:r>
      <w:r>
        <w:rPr>
          <w:rFonts w:ascii="Times New Roman" w:hAnsi="Times New Roman" w:eastAsia="黑体"/>
          <w:bCs/>
          <w:sz w:val="52"/>
          <w:szCs w:val="52"/>
        </w:rPr>
        <w:t>评估报告</w:t>
      </w:r>
    </w:p>
    <w:p w14:paraId="7EF49BE6">
      <w:pPr>
        <w:spacing w:line="240" w:lineRule="auto"/>
        <w:jc w:val="center"/>
        <w:rPr>
          <w:rFonts w:ascii="Times New Roman" w:hAnsi="Times New Roman" w:eastAsia="黑体"/>
          <w:bCs/>
          <w:sz w:val="52"/>
        </w:rPr>
      </w:pPr>
    </w:p>
    <w:p w14:paraId="1662B420">
      <w:pPr>
        <w:spacing w:line="240" w:lineRule="auto"/>
        <w:jc w:val="center"/>
        <w:rPr>
          <w:rFonts w:ascii="Times New Roman" w:hAnsi="Times New Roman" w:eastAsia="黑体"/>
          <w:bCs/>
          <w:sz w:val="52"/>
        </w:rPr>
      </w:pPr>
    </w:p>
    <w:p w14:paraId="5CF71F34">
      <w:pPr>
        <w:spacing w:line="240" w:lineRule="auto"/>
        <w:jc w:val="center"/>
        <w:rPr>
          <w:rFonts w:ascii="Times New Roman" w:hAnsi="Times New Roman" w:eastAsia="黑体"/>
          <w:bCs/>
          <w:sz w:val="52"/>
        </w:rPr>
      </w:pPr>
    </w:p>
    <w:p w14:paraId="30864971">
      <w:pPr>
        <w:spacing w:line="240" w:lineRule="auto"/>
        <w:jc w:val="center"/>
        <w:rPr>
          <w:rFonts w:ascii="Times New Roman" w:hAnsi="Times New Roman" w:eastAsia="黑体"/>
          <w:bCs/>
          <w:sz w:val="52"/>
        </w:rPr>
      </w:pPr>
    </w:p>
    <w:p w14:paraId="0C3AA4EE">
      <w:pPr>
        <w:spacing w:line="240" w:lineRule="auto"/>
        <w:jc w:val="center"/>
        <w:rPr>
          <w:rFonts w:ascii="Times New Roman" w:hAnsi="Times New Roman" w:eastAsia="黑体"/>
          <w:bCs/>
          <w:sz w:val="52"/>
        </w:rPr>
      </w:pPr>
    </w:p>
    <w:p w14:paraId="49489FDB">
      <w:pPr>
        <w:spacing w:line="240" w:lineRule="auto"/>
        <w:jc w:val="center"/>
        <w:rPr>
          <w:rFonts w:ascii="Times New Roman" w:hAnsi="Times New Roman"/>
          <w:bCs/>
          <w:sz w:val="52"/>
        </w:rPr>
      </w:pPr>
    </w:p>
    <w:p w14:paraId="16F9CDC1">
      <w:pPr>
        <w:spacing w:line="240" w:lineRule="auto"/>
        <w:rPr>
          <w:rFonts w:ascii="Times New Roman" w:hAnsi="Times New Roman"/>
          <w:bCs/>
          <w:sz w:val="52"/>
        </w:rPr>
      </w:pPr>
    </w:p>
    <w:p w14:paraId="4CE09910">
      <w:pPr>
        <w:spacing w:line="240" w:lineRule="auto"/>
        <w:rPr>
          <w:rFonts w:ascii="Times New Roman" w:hAnsi="Times New Roman"/>
          <w:bCs/>
          <w:sz w:val="52"/>
        </w:rPr>
      </w:pPr>
    </w:p>
    <w:p w14:paraId="13D2590F">
      <w:pPr>
        <w:spacing w:line="240" w:lineRule="auto"/>
        <w:jc w:val="center"/>
        <w:rPr>
          <w:rFonts w:ascii="楷体" w:hAnsi="楷体" w:eastAsia="楷体"/>
          <w:bCs/>
          <w:sz w:val="32"/>
          <w:szCs w:val="32"/>
        </w:rPr>
      </w:pPr>
      <w:r>
        <w:rPr>
          <w:rFonts w:hint="eastAsia" w:ascii="楷体" w:hAnsi="楷体" w:eastAsia="楷体"/>
          <w:bCs/>
          <w:sz w:val="32"/>
          <w:szCs w:val="32"/>
        </w:rPr>
        <w:t>国机特种设备检验有限公司</w:t>
      </w:r>
    </w:p>
    <w:p w14:paraId="5D6F93DA">
      <w:pPr>
        <w:spacing w:line="240" w:lineRule="auto"/>
        <w:jc w:val="center"/>
        <w:rPr>
          <w:rFonts w:ascii="Times New Roman" w:hAnsi="Times New Roman" w:eastAsia="楷体_GB2312"/>
          <w:bCs/>
          <w:sz w:val="30"/>
          <w:szCs w:val="30"/>
        </w:rPr>
        <w:sectPr>
          <w:headerReference r:id="rId6" w:type="first"/>
          <w:headerReference r:id="rId5" w:type="default"/>
          <w:footerReference r:id="rId7" w:type="default"/>
          <w:footerReference r:id="rId8" w:type="even"/>
          <w:pgSz w:w="11906" w:h="16838"/>
          <w:pgMar w:top="1418" w:right="1418" w:bottom="1418" w:left="1701" w:header="1134" w:footer="1134" w:gutter="0"/>
          <w:cols w:space="720" w:num="1"/>
          <w:titlePg/>
          <w:docGrid w:type="lines" w:linePitch="460" w:charSpace="0"/>
        </w:sectPr>
      </w:pPr>
    </w:p>
    <w:p w14:paraId="24FAE070">
      <w:pPr>
        <w:spacing w:line="240" w:lineRule="auto"/>
        <w:jc w:val="right"/>
        <w:rPr>
          <w:rFonts w:ascii="Times New Roman" w:hAnsi="Times New Roman"/>
        </w:rPr>
      </w:pPr>
      <w:bookmarkStart w:id="0" w:name="_Toc98261271"/>
      <w:r>
        <w:rPr>
          <w:rFonts w:ascii="Times New Roman" w:hAnsi="Times New Roman"/>
          <w:b/>
          <w:sz w:val="28"/>
          <w:szCs w:val="28"/>
        </w:rPr>
        <w:t>报告编号：</w:t>
      </w:r>
      <w:r>
        <w:rPr>
          <w:rFonts w:hint="eastAsia" w:ascii="Times New Roman" w:hAnsi="Times New Roman"/>
          <w:b/>
          <w:sz w:val="28"/>
          <w:szCs w:val="28"/>
        </w:rPr>
        <w:t>2026-GJTJ-JM-RBI-02</w:t>
      </w:r>
    </w:p>
    <w:p w14:paraId="08D75BC8">
      <w:pPr>
        <w:spacing w:line="240" w:lineRule="auto"/>
        <w:jc w:val="right"/>
        <w:rPr>
          <w:rFonts w:ascii="Times New Roman" w:hAnsi="Times New Roman"/>
          <w:b/>
          <w:sz w:val="28"/>
          <w:szCs w:val="28"/>
        </w:rPr>
      </w:pPr>
    </w:p>
    <w:p w14:paraId="6F80E937">
      <w:pPr>
        <w:spacing w:line="240" w:lineRule="auto"/>
        <w:rPr>
          <w:rFonts w:ascii="Times New Roman" w:hAnsi="Times New Roman"/>
        </w:rPr>
      </w:pPr>
    </w:p>
    <w:p w14:paraId="0931D8CA">
      <w:pPr>
        <w:spacing w:line="240" w:lineRule="auto"/>
        <w:jc w:val="center"/>
        <w:rPr>
          <w:rFonts w:ascii="Times New Roman" w:hAnsi="Times New Roman" w:eastAsia="黑体"/>
          <w:bCs/>
          <w:sz w:val="48"/>
          <w:szCs w:val="48"/>
        </w:rPr>
      </w:pPr>
      <w:r>
        <w:rPr>
          <w:rFonts w:hint="eastAsia" w:ascii="Times New Roman" w:hAnsi="Times New Roman" w:eastAsia="黑体"/>
          <w:bCs/>
          <w:sz w:val="48"/>
          <w:szCs w:val="48"/>
        </w:rPr>
        <w:t>中国石油化工股份有限公司荆门分公司</w:t>
      </w:r>
    </w:p>
    <w:p w14:paraId="7B16E302">
      <w:pPr>
        <w:spacing w:line="240" w:lineRule="auto"/>
        <w:jc w:val="center"/>
        <w:rPr>
          <w:rFonts w:hint="eastAsia" w:ascii="Times New Roman" w:hAnsi="Times New Roman" w:eastAsia="黑体"/>
          <w:sz w:val="48"/>
          <w:szCs w:val="48"/>
        </w:rPr>
      </w:pPr>
      <w:r>
        <w:rPr>
          <w:rFonts w:hint="eastAsia" w:ascii="Times New Roman" w:hAnsi="Times New Roman" w:eastAsia="黑体"/>
          <w:sz w:val="48"/>
          <w:szCs w:val="48"/>
        </w:rPr>
        <w:t>丙烷等装置部分设备</w:t>
      </w:r>
    </w:p>
    <w:p w14:paraId="71848871">
      <w:pPr>
        <w:spacing w:line="240" w:lineRule="auto"/>
        <w:jc w:val="center"/>
        <w:rPr>
          <w:rFonts w:ascii="Times New Roman" w:hAnsi="Times New Roman" w:eastAsia="黑体"/>
          <w:bCs/>
          <w:sz w:val="52"/>
          <w:szCs w:val="52"/>
        </w:rPr>
      </w:pPr>
      <w:r>
        <w:rPr>
          <w:rFonts w:ascii="Times New Roman" w:hAnsi="Times New Roman" w:eastAsia="黑体"/>
          <w:bCs/>
          <w:sz w:val="52"/>
          <w:szCs w:val="52"/>
        </w:rPr>
        <w:t>基于风险的检验</w:t>
      </w:r>
      <w:r>
        <w:rPr>
          <w:rFonts w:hint="eastAsia" w:ascii="Times New Roman" w:hAnsi="Times New Roman" w:eastAsia="黑体"/>
          <w:bCs/>
          <w:sz w:val="52"/>
          <w:szCs w:val="52"/>
        </w:rPr>
        <w:t>（</w:t>
      </w:r>
      <w:r>
        <w:rPr>
          <w:rFonts w:ascii="Times New Roman" w:hAnsi="Times New Roman" w:eastAsia="黑体"/>
          <w:bCs/>
          <w:sz w:val="52"/>
          <w:szCs w:val="52"/>
        </w:rPr>
        <w:t>RBI</w:t>
      </w:r>
      <w:r>
        <w:rPr>
          <w:rFonts w:hint="eastAsia" w:ascii="Times New Roman" w:hAnsi="Times New Roman" w:eastAsia="黑体"/>
          <w:bCs/>
          <w:sz w:val="52"/>
          <w:szCs w:val="52"/>
        </w:rPr>
        <w:t>）</w:t>
      </w:r>
      <w:r>
        <w:rPr>
          <w:rFonts w:ascii="Times New Roman" w:hAnsi="Times New Roman" w:eastAsia="黑体"/>
          <w:bCs/>
          <w:sz w:val="52"/>
          <w:szCs w:val="52"/>
        </w:rPr>
        <w:t>评估报告</w:t>
      </w:r>
    </w:p>
    <w:p w14:paraId="68B77444">
      <w:pPr>
        <w:spacing w:line="240" w:lineRule="auto"/>
        <w:jc w:val="center"/>
        <w:rPr>
          <w:rFonts w:ascii="Times New Roman" w:hAnsi="Times New Roman" w:eastAsia="黑体"/>
          <w:bCs/>
          <w:sz w:val="52"/>
        </w:rPr>
      </w:pPr>
    </w:p>
    <w:p w14:paraId="6BAD6308">
      <w:pPr>
        <w:spacing w:line="240" w:lineRule="auto"/>
        <w:jc w:val="center"/>
        <w:rPr>
          <w:rFonts w:ascii="Times New Roman" w:hAnsi="Times New Roman" w:eastAsia="黑体"/>
          <w:bCs/>
          <w:sz w:val="52"/>
        </w:rPr>
      </w:pPr>
    </w:p>
    <w:tbl>
      <w:tblPr>
        <w:tblStyle w:val="30"/>
        <w:tblW w:w="0" w:type="auto"/>
        <w:jc w:val="center"/>
        <w:tblLayout w:type="fixed"/>
        <w:tblCellMar>
          <w:top w:w="0" w:type="dxa"/>
          <w:left w:w="108" w:type="dxa"/>
          <w:bottom w:w="0" w:type="dxa"/>
          <w:right w:w="108" w:type="dxa"/>
        </w:tblCellMar>
      </w:tblPr>
      <w:tblGrid>
        <w:gridCol w:w="1259"/>
        <w:gridCol w:w="3608"/>
      </w:tblGrid>
      <w:tr w14:paraId="1D1927DF">
        <w:tblPrEx>
          <w:tblCellMar>
            <w:top w:w="0" w:type="dxa"/>
            <w:left w:w="108" w:type="dxa"/>
            <w:bottom w:w="0" w:type="dxa"/>
            <w:right w:w="108" w:type="dxa"/>
          </w:tblCellMar>
        </w:tblPrEx>
        <w:trPr>
          <w:wBefore w:w="0" w:type="dxa"/>
          <w:wAfter w:w="0" w:type="dxa"/>
          <w:trHeight w:val="869" w:hRule="atLeast"/>
          <w:jc w:val="center"/>
        </w:trPr>
        <w:tc>
          <w:tcPr>
            <w:tcW w:w="1259" w:type="dxa"/>
            <w:noWrap w:val="0"/>
            <w:vAlign w:val="bottom"/>
          </w:tcPr>
          <w:p w14:paraId="2E9910D8">
            <w:pPr>
              <w:spacing w:line="240" w:lineRule="auto"/>
              <w:jc w:val="center"/>
              <w:rPr>
                <w:rFonts w:ascii="Times New Roman" w:hAnsi="Times New Roman"/>
                <w:bCs/>
                <w:sz w:val="32"/>
              </w:rPr>
            </w:pPr>
            <w:r>
              <w:rPr>
                <w:rFonts w:ascii="Times New Roman" w:hAnsi="Times New Roman"/>
                <w:bCs/>
                <w:sz w:val="32"/>
              </w:rPr>
              <w:t>编制：</w:t>
            </w:r>
          </w:p>
        </w:tc>
        <w:tc>
          <w:tcPr>
            <w:tcW w:w="3608" w:type="dxa"/>
            <w:tcBorders>
              <w:bottom w:val="single" w:color="auto" w:sz="4" w:space="0"/>
            </w:tcBorders>
            <w:noWrap w:val="0"/>
            <w:vAlign w:val="bottom"/>
          </w:tcPr>
          <w:p w14:paraId="611736C4">
            <w:pPr>
              <w:spacing w:line="240" w:lineRule="auto"/>
              <w:jc w:val="center"/>
              <w:rPr>
                <w:rFonts w:ascii="Times New Roman" w:hAnsi="Times New Roman" w:eastAsia="楷体_GB2312"/>
                <w:bCs/>
                <w:sz w:val="32"/>
                <w:szCs w:val="30"/>
              </w:rPr>
            </w:pPr>
          </w:p>
        </w:tc>
      </w:tr>
      <w:tr w14:paraId="30386298">
        <w:tblPrEx>
          <w:tblCellMar>
            <w:top w:w="0" w:type="dxa"/>
            <w:left w:w="108" w:type="dxa"/>
            <w:bottom w:w="0" w:type="dxa"/>
            <w:right w:w="108" w:type="dxa"/>
          </w:tblCellMar>
        </w:tblPrEx>
        <w:trPr>
          <w:wBefore w:w="0" w:type="dxa"/>
          <w:wAfter w:w="0" w:type="dxa"/>
          <w:trHeight w:val="869" w:hRule="atLeast"/>
          <w:jc w:val="center"/>
        </w:trPr>
        <w:tc>
          <w:tcPr>
            <w:tcW w:w="1259" w:type="dxa"/>
            <w:noWrap w:val="0"/>
            <w:vAlign w:val="bottom"/>
          </w:tcPr>
          <w:p w14:paraId="4EB7C736">
            <w:pPr>
              <w:spacing w:line="240" w:lineRule="auto"/>
              <w:jc w:val="center"/>
              <w:rPr>
                <w:rFonts w:ascii="Times New Roman" w:hAnsi="Times New Roman"/>
                <w:bCs/>
                <w:sz w:val="32"/>
              </w:rPr>
            </w:pPr>
            <w:r>
              <w:rPr>
                <w:rFonts w:ascii="Times New Roman" w:hAnsi="Times New Roman"/>
                <w:bCs/>
                <w:sz w:val="32"/>
              </w:rPr>
              <w:t>校对：</w:t>
            </w:r>
          </w:p>
        </w:tc>
        <w:tc>
          <w:tcPr>
            <w:tcW w:w="3608" w:type="dxa"/>
            <w:tcBorders>
              <w:bottom w:val="single" w:color="auto" w:sz="4" w:space="0"/>
            </w:tcBorders>
            <w:noWrap w:val="0"/>
            <w:vAlign w:val="bottom"/>
          </w:tcPr>
          <w:p w14:paraId="43D394A4">
            <w:pPr>
              <w:spacing w:line="240" w:lineRule="auto"/>
              <w:jc w:val="center"/>
              <w:rPr>
                <w:rFonts w:ascii="Times New Roman" w:hAnsi="Times New Roman"/>
                <w:bCs/>
                <w:sz w:val="32"/>
              </w:rPr>
            </w:pPr>
          </w:p>
        </w:tc>
      </w:tr>
      <w:tr w14:paraId="194F0EA7">
        <w:tblPrEx>
          <w:tblCellMar>
            <w:top w:w="0" w:type="dxa"/>
            <w:left w:w="108" w:type="dxa"/>
            <w:bottom w:w="0" w:type="dxa"/>
            <w:right w:w="108" w:type="dxa"/>
          </w:tblCellMar>
        </w:tblPrEx>
        <w:trPr>
          <w:wBefore w:w="0" w:type="dxa"/>
          <w:wAfter w:w="0" w:type="dxa"/>
          <w:trHeight w:val="869" w:hRule="atLeast"/>
          <w:jc w:val="center"/>
        </w:trPr>
        <w:tc>
          <w:tcPr>
            <w:tcW w:w="1259" w:type="dxa"/>
            <w:noWrap w:val="0"/>
            <w:vAlign w:val="bottom"/>
          </w:tcPr>
          <w:p w14:paraId="3B57AD4E">
            <w:pPr>
              <w:spacing w:line="240" w:lineRule="auto"/>
              <w:jc w:val="center"/>
              <w:rPr>
                <w:rFonts w:ascii="Times New Roman" w:hAnsi="Times New Roman"/>
                <w:bCs/>
                <w:sz w:val="32"/>
              </w:rPr>
            </w:pPr>
            <w:r>
              <w:rPr>
                <w:rFonts w:ascii="Times New Roman" w:hAnsi="Times New Roman"/>
                <w:bCs/>
                <w:sz w:val="32"/>
              </w:rPr>
              <w:t>审核：</w:t>
            </w:r>
          </w:p>
        </w:tc>
        <w:tc>
          <w:tcPr>
            <w:tcW w:w="3608" w:type="dxa"/>
            <w:tcBorders>
              <w:top w:val="single" w:color="auto" w:sz="4" w:space="0"/>
              <w:bottom w:val="single" w:color="auto" w:sz="4" w:space="0"/>
            </w:tcBorders>
            <w:noWrap w:val="0"/>
            <w:vAlign w:val="bottom"/>
          </w:tcPr>
          <w:p w14:paraId="0A407333">
            <w:pPr>
              <w:spacing w:line="240" w:lineRule="auto"/>
              <w:jc w:val="center"/>
              <w:rPr>
                <w:rFonts w:ascii="Times New Roman" w:hAnsi="Times New Roman" w:eastAsia="楷体_GB2312"/>
                <w:bCs/>
                <w:sz w:val="32"/>
                <w:szCs w:val="30"/>
              </w:rPr>
            </w:pPr>
          </w:p>
        </w:tc>
      </w:tr>
      <w:tr w14:paraId="351D1345">
        <w:tblPrEx>
          <w:tblCellMar>
            <w:top w:w="0" w:type="dxa"/>
            <w:left w:w="108" w:type="dxa"/>
            <w:bottom w:w="0" w:type="dxa"/>
            <w:right w:w="108" w:type="dxa"/>
          </w:tblCellMar>
        </w:tblPrEx>
        <w:trPr>
          <w:wBefore w:w="0" w:type="dxa"/>
          <w:wAfter w:w="0" w:type="dxa"/>
          <w:trHeight w:val="869" w:hRule="atLeast"/>
          <w:jc w:val="center"/>
        </w:trPr>
        <w:tc>
          <w:tcPr>
            <w:tcW w:w="1259" w:type="dxa"/>
            <w:noWrap w:val="0"/>
            <w:vAlign w:val="bottom"/>
          </w:tcPr>
          <w:p w14:paraId="768D79FB">
            <w:pPr>
              <w:spacing w:line="240" w:lineRule="auto"/>
              <w:jc w:val="center"/>
              <w:rPr>
                <w:rFonts w:ascii="Times New Roman" w:hAnsi="Times New Roman"/>
                <w:bCs/>
                <w:sz w:val="32"/>
              </w:rPr>
            </w:pPr>
            <w:r>
              <w:rPr>
                <w:rFonts w:ascii="Times New Roman" w:hAnsi="Times New Roman"/>
                <w:bCs/>
                <w:sz w:val="32"/>
              </w:rPr>
              <w:t>批准：</w:t>
            </w:r>
          </w:p>
        </w:tc>
        <w:tc>
          <w:tcPr>
            <w:tcW w:w="3608" w:type="dxa"/>
            <w:tcBorders>
              <w:top w:val="single" w:color="auto" w:sz="4" w:space="0"/>
              <w:bottom w:val="single" w:color="auto" w:sz="4" w:space="0"/>
            </w:tcBorders>
            <w:noWrap w:val="0"/>
            <w:vAlign w:val="bottom"/>
          </w:tcPr>
          <w:p w14:paraId="61FF1E16">
            <w:pPr>
              <w:spacing w:line="240" w:lineRule="auto"/>
              <w:jc w:val="center"/>
              <w:rPr>
                <w:rFonts w:ascii="Times New Roman" w:hAnsi="Times New Roman" w:eastAsia="楷体_GB2312"/>
                <w:bCs/>
                <w:sz w:val="32"/>
                <w:szCs w:val="30"/>
              </w:rPr>
            </w:pPr>
          </w:p>
        </w:tc>
      </w:tr>
    </w:tbl>
    <w:p w14:paraId="795332A4">
      <w:pPr>
        <w:snapToGrid w:val="0"/>
        <w:spacing w:line="240" w:lineRule="auto"/>
        <w:jc w:val="center"/>
        <w:rPr>
          <w:rFonts w:ascii="Times New Roman" w:hAnsi="Times New Roman" w:eastAsia="黑体"/>
          <w:bCs/>
          <w:sz w:val="52"/>
        </w:rPr>
      </w:pPr>
    </w:p>
    <w:p w14:paraId="618B8D26">
      <w:pPr>
        <w:spacing w:line="240" w:lineRule="auto"/>
        <w:jc w:val="center"/>
        <w:rPr>
          <w:rFonts w:ascii="Times New Roman" w:hAnsi="Times New Roman" w:eastAsia="楷体_GB2312"/>
          <w:bCs/>
          <w:sz w:val="30"/>
          <w:szCs w:val="30"/>
        </w:rPr>
      </w:pPr>
    </w:p>
    <w:p w14:paraId="78976C0E">
      <w:pPr>
        <w:spacing w:line="240" w:lineRule="auto"/>
        <w:jc w:val="center"/>
        <w:rPr>
          <w:rFonts w:ascii="Times New Roman" w:hAnsi="Times New Roman" w:eastAsia="楷体_GB2312"/>
          <w:bCs/>
          <w:sz w:val="30"/>
          <w:szCs w:val="30"/>
        </w:rPr>
      </w:pPr>
    </w:p>
    <w:p w14:paraId="1A714E2E">
      <w:pPr>
        <w:spacing w:line="240" w:lineRule="auto"/>
        <w:jc w:val="center"/>
        <w:rPr>
          <w:rFonts w:ascii="Times New Roman" w:hAnsi="Times New Roman" w:eastAsia="楷体_GB2312"/>
          <w:bCs/>
          <w:sz w:val="30"/>
          <w:szCs w:val="30"/>
        </w:rPr>
      </w:pPr>
    </w:p>
    <w:p w14:paraId="6C1D6643">
      <w:pPr>
        <w:spacing w:line="240" w:lineRule="auto"/>
        <w:jc w:val="center"/>
        <w:rPr>
          <w:rFonts w:ascii="楷体" w:hAnsi="楷体" w:eastAsia="楷体"/>
          <w:bCs/>
          <w:sz w:val="32"/>
          <w:szCs w:val="32"/>
        </w:rPr>
      </w:pPr>
      <w:r>
        <w:rPr>
          <w:rFonts w:hint="eastAsia" w:ascii="楷体" w:hAnsi="楷体" w:eastAsia="楷体"/>
          <w:bCs/>
          <w:sz w:val="32"/>
          <w:szCs w:val="32"/>
        </w:rPr>
        <w:t>国机特种设备检验有限公司</w:t>
      </w:r>
    </w:p>
    <w:p w14:paraId="1FC74B14">
      <w:pPr>
        <w:spacing w:before="100" w:beforeAutospacing="1" w:line="240" w:lineRule="auto"/>
        <w:jc w:val="center"/>
        <w:rPr>
          <w:rFonts w:ascii="Times New Roman" w:hAnsi="Times New Roman"/>
          <w:color w:val="FF0000"/>
          <w:sz w:val="32"/>
          <w:szCs w:val="32"/>
        </w:rPr>
        <w:sectPr>
          <w:footerReference r:id="rId9" w:type="default"/>
          <w:footerReference r:id="rId10" w:type="even"/>
          <w:pgSz w:w="11906" w:h="16838"/>
          <w:pgMar w:top="1418" w:right="1418" w:bottom="1418" w:left="1701" w:header="1134" w:footer="1134" w:gutter="0"/>
          <w:pgNumType w:fmt="upperRoman" w:start="1"/>
          <w:cols w:space="720" w:num="1"/>
          <w:titlePg/>
          <w:docGrid w:type="lines" w:linePitch="460" w:charSpace="0"/>
        </w:sectPr>
      </w:pPr>
      <w:r>
        <w:rPr>
          <w:rFonts w:ascii="楷体" w:hAnsi="楷体" w:eastAsia="楷体"/>
          <w:bCs/>
          <w:sz w:val="32"/>
          <w:szCs w:val="32"/>
        </w:rPr>
        <w:t>202</w:t>
      </w:r>
      <w:r>
        <w:rPr>
          <w:rFonts w:hint="eastAsia" w:ascii="楷体" w:hAnsi="楷体" w:eastAsia="楷体"/>
          <w:bCs/>
          <w:sz w:val="32"/>
          <w:szCs w:val="32"/>
        </w:rPr>
        <w:t>6</w:t>
      </w:r>
      <w:r>
        <w:rPr>
          <w:rFonts w:ascii="楷体" w:hAnsi="楷体" w:eastAsia="楷体"/>
          <w:bCs/>
          <w:sz w:val="32"/>
          <w:szCs w:val="32"/>
        </w:rPr>
        <w:t>年</w:t>
      </w:r>
      <w:r>
        <w:rPr>
          <w:rFonts w:hint="eastAsia" w:ascii="楷体" w:hAnsi="楷体" w:eastAsia="楷体"/>
          <w:bCs/>
          <w:sz w:val="32"/>
          <w:szCs w:val="32"/>
        </w:rPr>
        <w:t>6</w:t>
      </w:r>
      <w:r>
        <w:rPr>
          <w:rFonts w:ascii="楷体" w:hAnsi="楷体" w:eastAsia="楷体"/>
          <w:bCs/>
          <w:sz w:val="32"/>
          <w:szCs w:val="32"/>
        </w:rPr>
        <w:t>月</w:t>
      </w:r>
    </w:p>
    <w:p w14:paraId="1C2B21D7">
      <w:pPr>
        <w:pStyle w:val="21"/>
        <w:spacing w:line="240" w:lineRule="auto"/>
        <w:rPr>
          <w:rFonts w:eastAsia="黑体"/>
          <w:sz w:val="36"/>
        </w:rPr>
      </w:pPr>
      <w:r>
        <w:rPr>
          <w:rFonts w:eastAsia="黑体"/>
          <w:sz w:val="36"/>
        </w:rPr>
        <w:t>目　录</w:t>
      </w:r>
      <w:bookmarkEnd w:id="0"/>
    </w:p>
    <w:p w14:paraId="434BF635">
      <w:pPr>
        <w:pStyle w:val="21"/>
        <w:tabs>
          <w:tab w:val="right" w:leader="dot" w:pos="8787"/>
          <w:tab w:val="clear" w:pos="480"/>
          <w:tab w:val="clear" w:pos="8777"/>
        </w:tabs>
      </w:pPr>
      <w:r>
        <w:fldChar w:fldCharType="begin"/>
      </w:r>
      <w:r>
        <w:instrText xml:space="preserve"> TOC \o "1-3" \h \z \u </w:instrText>
      </w:r>
      <w:r>
        <w:fldChar w:fldCharType="separate"/>
      </w:r>
      <w:r>
        <w:fldChar w:fldCharType="begin"/>
      </w:r>
      <w:r>
        <w:instrText xml:space="preserve"> HYPERLINK \l _Toc9916 </w:instrText>
      </w:r>
      <w:r>
        <w:fldChar w:fldCharType="separate"/>
      </w:r>
      <w:r>
        <w:t>1. 项目综述</w:t>
      </w:r>
      <w:r>
        <w:tab/>
      </w:r>
      <w:r>
        <w:fldChar w:fldCharType="begin"/>
      </w:r>
      <w:r>
        <w:instrText xml:space="preserve"> PAGEREF _Toc9916 \h </w:instrText>
      </w:r>
      <w:r>
        <w:fldChar w:fldCharType="separate"/>
      </w:r>
      <w:r>
        <w:t>1</w:t>
      </w:r>
      <w:r>
        <w:fldChar w:fldCharType="end"/>
      </w:r>
      <w:r>
        <w:fldChar w:fldCharType="end"/>
      </w:r>
    </w:p>
    <w:p w14:paraId="566E27C1">
      <w:pPr>
        <w:pStyle w:val="25"/>
        <w:tabs>
          <w:tab w:val="right" w:leader="dot" w:pos="8787"/>
          <w:tab w:val="clear" w:pos="960"/>
          <w:tab w:val="clear" w:pos="8777"/>
        </w:tabs>
      </w:pPr>
      <w:r>
        <w:rPr>
          <w:bCs/>
          <w:lang w:val="zh-CN"/>
        </w:rPr>
        <w:fldChar w:fldCharType="begin"/>
      </w:r>
      <w:r>
        <w:rPr>
          <w:bCs/>
          <w:lang w:val="zh-CN"/>
        </w:rPr>
        <w:instrText xml:space="preserve"> HYPERLINK \l _Toc12432 </w:instrText>
      </w:r>
      <w:r>
        <w:rPr>
          <w:bCs/>
          <w:lang w:val="zh-CN"/>
        </w:rPr>
        <w:fldChar w:fldCharType="separate"/>
      </w:r>
      <w:r>
        <w:rPr>
          <w:rFonts w:ascii="Times New Roman" w:hAnsi="Times New Roman"/>
          <w:szCs w:val="24"/>
        </w:rPr>
        <w:t>1.1</w:t>
      </w:r>
      <w:r>
        <w:rPr>
          <w:rFonts w:hint="eastAsia" w:ascii="Times New Roman" w:hAnsi="Times New Roman"/>
          <w:szCs w:val="24"/>
        </w:rPr>
        <w:t xml:space="preserve"> </w:t>
      </w:r>
      <w:r>
        <w:rPr>
          <w:rFonts w:ascii="Times New Roman" w:hAnsi="Times New Roman"/>
          <w:szCs w:val="24"/>
        </w:rPr>
        <w:t>概况</w:t>
      </w:r>
      <w:r>
        <w:tab/>
      </w:r>
      <w:r>
        <w:fldChar w:fldCharType="begin"/>
      </w:r>
      <w:r>
        <w:instrText xml:space="preserve"> PAGEREF _Toc12432 \h </w:instrText>
      </w:r>
      <w:r>
        <w:fldChar w:fldCharType="separate"/>
      </w:r>
      <w:r>
        <w:t>1</w:t>
      </w:r>
      <w:r>
        <w:fldChar w:fldCharType="end"/>
      </w:r>
      <w:r>
        <w:rPr>
          <w:bCs/>
          <w:lang w:val="zh-CN"/>
        </w:rPr>
        <w:fldChar w:fldCharType="end"/>
      </w:r>
    </w:p>
    <w:p w14:paraId="792F2F26">
      <w:pPr>
        <w:pStyle w:val="25"/>
        <w:tabs>
          <w:tab w:val="right" w:leader="dot" w:pos="8787"/>
          <w:tab w:val="clear" w:pos="960"/>
          <w:tab w:val="clear" w:pos="8777"/>
        </w:tabs>
      </w:pPr>
      <w:r>
        <w:rPr>
          <w:bCs/>
          <w:lang w:val="zh-CN"/>
        </w:rPr>
        <w:fldChar w:fldCharType="begin"/>
      </w:r>
      <w:r>
        <w:rPr>
          <w:bCs/>
          <w:lang w:val="zh-CN"/>
        </w:rPr>
        <w:instrText xml:space="preserve"> HYPERLINK \l _Toc585 </w:instrText>
      </w:r>
      <w:r>
        <w:rPr>
          <w:bCs/>
          <w:lang w:val="zh-CN"/>
        </w:rPr>
        <w:fldChar w:fldCharType="separate"/>
      </w:r>
      <w:r>
        <w:rPr>
          <w:rFonts w:ascii="Times New Roman" w:hAnsi="Times New Roman"/>
          <w:szCs w:val="24"/>
        </w:rPr>
        <w:t>1.2</w:t>
      </w:r>
      <w:r>
        <w:rPr>
          <w:rFonts w:hint="eastAsia" w:ascii="Times New Roman" w:hAnsi="Times New Roman"/>
          <w:szCs w:val="24"/>
        </w:rPr>
        <w:t xml:space="preserve"> </w:t>
      </w:r>
      <w:r>
        <w:rPr>
          <w:rFonts w:ascii="Times New Roman" w:hAnsi="Times New Roman"/>
          <w:szCs w:val="24"/>
        </w:rPr>
        <w:t>主要成果</w:t>
      </w:r>
      <w:r>
        <w:tab/>
      </w:r>
      <w:r>
        <w:fldChar w:fldCharType="begin"/>
      </w:r>
      <w:r>
        <w:instrText xml:space="preserve"> PAGEREF _Toc585 \h </w:instrText>
      </w:r>
      <w:r>
        <w:fldChar w:fldCharType="separate"/>
      </w:r>
      <w:r>
        <w:t>1</w:t>
      </w:r>
      <w:r>
        <w:fldChar w:fldCharType="end"/>
      </w:r>
      <w:r>
        <w:rPr>
          <w:bCs/>
          <w:lang w:val="zh-CN"/>
        </w:rPr>
        <w:fldChar w:fldCharType="end"/>
      </w:r>
    </w:p>
    <w:p w14:paraId="77B12C85">
      <w:pPr>
        <w:pStyle w:val="21"/>
        <w:tabs>
          <w:tab w:val="right" w:leader="dot" w:pos="8787"/>
          <w:tab w:val="clear" w:pos="480"/>
          <w:tab w:val="clear" w:pos="8777"/>
        </w:tabs>
      </w:pPr>
      <w:r>
        <w:rPr>
          <w:bCs/>
          <w:lang w:val="zh-CN"/>
        </w:rPr>
        <w:fldChar w:fldCharType="begin"/>
      </w:r>
      <w:r>
        <w:rPr>
          <w:bCs/>
          <w:lang w:val="zh-CN"/>
        </w:rPr>
        <w:instrText xml:space="preserve"> HYPERLINK \l _Toc7343 </w:instrText>
      </w:r>
      <w:r>
        <w:rPr>
          <w:bCs/>
          <w:lang w:val="zh-CN"/>
        </w:rPr>
        <w:fldChar w:fldCharType="separate"/>
      </w:r>
      <w:r>
        <w:t>2. RBI技术概述</w:t>
      </w:r>
      <w:r>
        <w:tab/>
      </w:r>
      <w:r>
        <w:fldChar w:fldCharType="begin"/>
      </w:r>
      <w:r>
        <w:instrText xml:space="preserve"> PAGEREF _Toc7343 \h </w:instrText>
      </w:r>
      <w:r>
        <w:fldChar w:fldCharType="separate"/>
      </w:r>
      <w:r>
        <w:t>2</w:t>
      </w:r>
      <w:r>
        <w:fldChar w:fldCharType="end"/>
      </w:r>
      <w:r>
        <w:rPr>
          <w:bCs/>
          <w:lang w:val="zh-CN"/>
        </w:rPr>
        <w:fldChar w:fldCharType="end"/>
      </w:r>
    </w:p>
    <w:p w14:paraId="3CC2B370">
      <w:pPr>
        <w:pStyle w:val="21"/>
        <w:tabs>
          <w:tab w:val="right" w:leader="dot" w:pos="8787"/>
          <w:tab w:val="clear" w:pos="480"/>
          <w:tab w:val="clear" w:pos="8777"/>
        </w:tabs>
      </w:pPr>
      <w:r>
        <w:rPr>
          <w:bCs/>
          <w:lang w:val="zh-CN"/>
        </w:rPr>
        <w:fldChar w:fldCharType="begin"/>
      </w:r>
      <w:r>
        <w:rPr>
          <w:bCs/>
          <w:lang w:val="zh-CN"/>
        </w:rPr>
        <w:instrText xml:space="preserve"> HYPERLINK \l _Toc18239 </w:instrText>
      </w:r>
      <w:r>
        <w:rPr>
          <w:bCs/>
          <w:lang w:val="zh-CN"/>
        </w:rPr>
        <w:fldChar w:fldCharType="separate"/>
      </w:r>
      <w:r>
        <w:t>3. 项目实施执行或参照的标准、法规和资料</w:t>
      </w:r>
      <w:r>
        <w:tab/>
      </w:r>
      <w:r>
        <w:fldChar w:fldCharType="begin"/>
      </w:r>
      <w:r>
        <w:instrText xml:space="preserve"> PAGEREF _Toc18239 \h </w:instrText>
      </w:r>
      <w:r>
        <w:fldChar w:fldCharType="separate"/>
      </w:r>
      <w:r>
        <w:t>3</w:t>
      </w:r>
      <w:r>
        <w:fldChar w:fldCharType="end"/>
      </w:r>
      <w:r>
        <w:rPr>
          <w:bCs/>
          <w:lang w:val="zh-CN"/>
        </w:rPr>
        <w:fldChar w:fldCharType="end"/>
      </w:r>
    </w:p>
    <w:p w14:paraId="15859B91">
      <w:pPr>
        <w:pStyle w:val="25"/>
        <w:tabs>
          <w:tab w:val="right" w:leader="dot" w:pos="8787"/>
          <w:tab w:val="clear" w:pos="960"/>
          <w:tab w:val="clear" w:pos="8777"/>
        </w:tabs>
      </w:pPr>
      <w:r>
        <w:rPr>
          <w:bCs/>
          <w:lang w:val="zh-CN"/>
        </w:rPr>
        <w:fldChar w:fldCharType="begin"/>
      </w:r>
      <w:r>
        <w:rPr>
          <w:bCs/>
          <w:lang w:val="zh-CN"/>
        </w:rPr>
        <w:instrText xml:space="preserve"> HYPERLINK \l _Toc8440 </w:instrText>
      </w:r>
      <w:r>
        <w:rPr>
          <w:bCs/>
          <w:lang w:val="zh-CN"/>
        </w:rPr>
        <w:fldChar w:fldCharType="separate"/>
      </w:r>
      <w:r>
        <w:rPr>
          <w:rFonts w:ascii="Times New Roman" w:hAnsi="Times New Roman"/>
        </w:rPr>
        <w:t>3.1 项目实施的主要依据</w:t>
      </w:r>
      <w:r>
        <w:tab/>
      </w:r>
      <w:r>
        <w:fldChar w:fldCharType="begin"/>
      </w:r>
      <w:r>
        <w:instrText xml:space="preserve"> PAGEREF _Toc8440 \h </w:instrText>
      </w:r>
      <w:r>
        <w:fldChar w:fldCharType="separate"/>
      </w:r>
      <w:r>
        <w:t>3</w:t>
      </w:r>
      <w:r>
        <w:fldChar w:fldCharType="end"/>
      </w:r>
      <w:r>
        <w:rPr>
          <w:bCs/>
          <w:lang w:val="zh-CN"/>
        </w:rPr>
        <w:fldChar w:fldCharType="end"/>
      </w:r>
    </w:p>
    <w:p w14:paraId="506F69F7">
      <w:pPr>
        <w:pStyle w:val="25"/>
        <w:tabs>
          <w:tab w:val="right" w:leader="dot" w:pos="8787"/>
          <w:tab w:val="clear" w:pos="960"/>
          <w:tab w:val="clear" w:pos="8777"/>
        </w:tabs>
      </w:pPr>
      <w:r>
        <w:rPr>
          <w:bCs/>
          <w:lang w:val="zh-CN"/>
        </w:rPr>
        <w:fldChar w:fldCharType="begin"/>
      </w:r>
      <w:r>
        <w:rPr>
          <w:bCs/>
          <w:lang w:val="zh-CN"/>
        </w:rPr>
        <w:instrText xml:space="preserve"> HYPERLINK \l _Toc29567 </w:instrText>
      </w:r>
      <w:r>
        <w:rPr>
          <w:bCs/>
          <w:lang w:val="zh-CN"/>
        </w:rPr>
        <w:fldChar w:fldCharType="separate"/>
      </w:r>
      <w:r>
        <w:rPr>
          <w:rFonts w:ascii="Times New Roman" w:hAnsi="Times New Roman"/>
        </w:rPr>
        <w:t>3.2 其他参考标准、法规和资料</w:t>
      </w:r>
      <w:r>
        <w:tab/>
      </w:r>
      <w:r>
        <w:fldChar w:fldCharType="begin"/>
      </w:r>
      <w:r>
        <w:instrText xml:space="preserve"> PAGEREF _Toc29567 \h </w:instrText>
      </w:r>
      <w:r>
        <w:fldChar w:fldCharType="separate"/>
      </w:r>
      <w:r>
        <w:t>4</w:t>
      </w:r>
      <w:r>
        <w:fldChar w:fldCharType="end"/>
      </w:r>
      <w:r>
        <w:rPr>
          <w:bCs/>
          <w:lang w:val="zh-CN"/>
        </w:rPr>
        <w:fldChar w:fldCharType="end"/>
      </w:r>
    </w:p>
    <w:p w14:paraId="7024FCE6">
      <w:pPr>
        <w:pStyle w:val="21"/>
        <w:tabs>
          <w:tab w:val="right" w:leader="dot" w:pos="8787"/>
          <w:tab w:val="clear" w:pos="480"/>
          <w:tab w:val="clear" w:pos="8777"/>
        </w:tabs>
      </w:pPr>
      <w:r>
        <w:rPr>
          <w:bCs/>
          <w:lang w:val="zh-CN"/>
        </w:rPr>
        <w:fldChar w:fldCharType="begin"/>
      </w:r>
      <w:r>
        <w:rPr>
          <w:bCs/>
          <w:lang w:val="zh-CN"/>
        </w:rPr>
        <w:instrText xml:space="preserve"> HYPERLINK \l _Toc22790 </w:instrText>
      </w:r>
      <w:r>
        <w:rPr>
          <w:bCs/>
          <w:lang w:val="zh-CN"/>
        </w:rPr>
        <w:fldChar w:fldCharType="separate"/>
      </w:r>
      <w:r>
        <w:t xml:space="preserve">4. </w:t>
      </w:r>
      <w:r>
        <w:rPr>
          <w:rFonts w:hint="eastAsia"/>
        </w:rPr>
        <w:t>使用单位应用R</w:t>
      </w:r>
      <w:r>
        <w:t>BI</w:t>
      </w:r>
      <w:r>
        <w:rPr>
          <w:rFonts w:hint="eastAsia"/>
        </w:rPr>
        <w:t>条件审查</w:t>
      </w:r>
      <w:r>
        <w:tab/>
      </w:r>
      <w:r>
        <w:fldChar w:fldCharType="begin"/>
      </w:r>
      <w:r>
        <w:instrText xml:space="preserve"> PAGEREF _Toc22790 \h </w:instrText>
      </w:r>
      <w:r>
        <w:fldChar w:fldCharType="separate"/>
      </w:r>
      <w:r>
        <w:t>4</w:t>
      </w:r>
      <w:r>
        <w:fldChar w:fldCharType="end"/>
      </w:r>
      <w:r>
        <w:rPr>
          <w:bCs/>
          <w:lang w:val="zh-CN"/>
        </w:rPr>
        <w:fldChar w:fldCharType="end"/>
      </w:r>
    </w:p>
    <w:p w14:paraId="5C5C24E4">
      <w:pPr>
        <w:pStyle w:val="21"/>
        <w:tabs>
          <w:tab w:val="right" w:leader="dot" w:pos="8787"/>
          <w:tab w:val="clear" w:pos="480"/>
          <w:tab w:val="clear" w:pos="8777"/>
        </w:tabs>
      </w:pPr>
      <w:r>
        <w:rPr>
          <w:bCs/>
          <w:lang w:val="zh-CN"/>
        </w:rPr>
        <w:fldChar w:fldCharType="begin"/>
      </w:r>
      <w:r>
        <w:rPr>
          <w:bCs/>
          <w:lang w:val="zh-CN"/>
        </w:rPr>
        <w:instrText xml:space="preserve"> HYPERLINK \l _Toc23692 </w:instrText>
      </w:r>
      <w:r>
        <w:rPr>
          <w:bCs/>
          <w:lang w:val="zh-CN"/>
        </w:rPr>
        <w:fldChar w:fldCharType="separate"/>
      </w:r>
      <w:r>
        <w:rPr>
          <w:rFonts w:hint="eastAsia"/>
        </w:rPr>
        <w:t xml:space="preserve">5. </w:t>
      </w:r>
      <w:r>
        <w:t>装置概况</w:t>
      </w:r>
      <w:r>
        <w:tab/>
      </w:r>
      <w:r>
        <w:fldChar w:fldCharType="begin"/>
      </w:r>
      <w:r>
        <w:instrText xml:space="preserve"> PAGEREF _Toc23692 \h </w:instrText>
      </w:r>
      <w:r>
        <w:fldChar w:fldCharType="separate"/>
      </w:r>
      <w:r>
        <w:t>5</w:t>
      </w:r>
      <w:r>
        <w:fldChar w:fldCharType="end"/>
      </w:r>
      <w:r>
        <w:rPr>
          <w:bCs/>
          <w:lang w:val="zh-CN"/>
        </w:rPr>
        <w:fldChar w:fldCharType="end"/>
      </w:r>
    </w:p>
    <w:p w14:paraId="3D334C8B">
      <w:pPr>
        <w:pStyle w:val="25"/>
        <w:tabs>
          <w:tab w:val="right" w:leader="dot" w:pos="8787"/>
          <w:tab w:val="clear" w:pos="960"/>
          <w:tab w:val="clear" w:pos="8777"/>
        </w:tabs>
      </w:pPr>
      <w:r>
        <w:rPr>
          <w:bCs/>
          <w:lang w:val="zh-CN"/>
        </w:rPr>
        <w:fldChar w:fldCharType="begin"/>
      </w:r>
      <w:r>
        <w:rPr>
          <w:bCs/>
          <w:lang w:val="zh-CN"/>
        </w:rPr>
        <w:instrText xml:space="preserve"> HYPERLINK \l _Toc4950 </w:instrText>
      </w:r>
      <w:r>
        <w:rPr>
          <w:bCs/>
          <w:lang w:val="zh-CN"/>
        </w:rPr>
        <w:fldChar w:fldCharType="separate"/>
      </w:r>
      <w:r>
        <w:rPr>
          <w:rFonts w:hint="eastAsia" w:ascii="Times New Roman" w:hAnsi="Times New Roman"/>
        </w:rPr>
        <w:t>5</w:t>
      </w:r>
      <w:r>
        <w:rPr>
          <w:rFonts w:ascii="Times New Roman" w:hAnsi="Times New Roman"/>
        </w:rPr>
        <w:t>.1</w:t>
      </w:r>
      <w:r>
        <w:rPr>
          <w:rFonts w:hint="eastAsia" w:ascii="Times New Roman" w:hAnsi="Times New Roman"/>
        </w:rPr>
        <w:t xml:space="preserve"> </w:t>
      </w:r>
      <w:r>
        <w:rPr>
          <w:rFonts w:ascii="Times New Roman" w:hAnsi="Times New Roman"/>
        </w:rPr>
        <w:t>装置简介</w:t>
      </w:r>
      <w:r>
        <w:tab/>
      </w:r>
      <w:r>
        <w:fldChar w:fldCharType="begin"/>
      </w:r>
      <w:r>
        <w:instrText xml:space="preserve"> PAGEREF _Toc4950 \h </w:instrText>
      </w:r>
      <w:r>
        <w:fldChar w:fldCharType="separate"/>
      </w:r>
      <w:r>
        <w:t>5</w:t>
      </w:r>
      <w:r>
        <w:fldChar w:fldCharType="end"/>
      </w:r>
      <w:r>
        <w:rPr>
          <w:bCs/>
          <w:lang w:val="zh-CN"/>
        </w:rPr>
        <w:fldChar w:fldCharType="end"/>
      </w:r>
    </w:p>
    <w:p w14:paraId="5F6717A7">
      <w:pPr>
        <w:pStyle w:val="25"/>
        <w:tabs>
          <w:tab w:val="right" w:leader="dot" w:pos="8787"/>
          <w:tab w:val="clear" w:pos="960"/>
          <w:tab w:val="clear" w:pos="8777"/>
        </w:tabs>
      </w:pPr>
      <w:r>
        <w:rPr>
          <w:bCs/>
          <w:lang w:val="zh-CN"/>
        </w:rPr>
        <w:fldChar w:fldCharType="begin"/>
      </w:r>
      <w:r>
        <w:rPr>
          <w:bCs/>
          <w:lang w:val="zh-CN"/>
        </w:rPr>
        <w:instrText xml:space="preserve"> HYPERLINK \l _Toc20946 </w:instrText>
      </w:r>
      <w:r>
        <w:rPr>
          <w:bCs/>
          <w:lang w:val="zh-CN"/>
        </w:rPr>
        <w:fldChar w:fldCharType="separate"/>
      </w:r>
      <w:r>
        <w:rPr>
          <w:rFonts w:hint="eastAsia" w:ascii="Times New Roman" w:hAnsi="Times New Roman"/>
        </w:rPr>
        <w:t>5</w:t>
      </w:r>
      <w:r>
        <w:rPr>
          <w:rFonts w:ascii="Times New Roman" w:hAnsi="Times New Roman"/>
        </w:rPr>
        <w:t>.2</w:t>
      </w:r>
      <w:r>
        <w:rPr>
          <w:rFonts w:hint="eastAsia" w:ascii="Times New Roman" w:hAnsi="Times New Roman"/>
        </w:rPr>
        <w:t xml:space="preserve"> </w:t>
      </w:r>
      <w:r>
        <w:rPr>
          <w:rFonts w:ascii="Times New Roman" w:hAnsi="Times New Roman"/>
        </w:rPr>
        <w:t>装置评估设备与管道统计</w:t>
      </w:r>
      <w:r>
        <w:tab/>
      </w:r>
      <w:r>
        <w:fldChar w:fldCharType="begin"/>
      </w:r>
      <w:r>
        <w:instrText xml:space="preserve"> PAGEREF _Toc20946 \h </w:instrText>
      </w:r>
      <w:r>
        <w:fldChar w:fldCharType="separate"/>
      </w:r>
      <w:r>
        <w:t>5</w:t>
      </w:r>
      <w:r>
        <w:fldChar w:fldCharType="end"/>
      </w:r>
      <w:r>
        <w:rPr>
          <w:bCs/>
          <w:lang w:val="zh-CN"/>
        </w:rPr>
        <w:fldChar w:fldCharType="end"/>
      </w:r>
    </w:p>
    <w:p w14:paraId="3E81E31B">
      <w:pPr>
        <w:pStyle w:val="25"/>
        <w:tabs>
          <w:tab w:val="right" w:leader="dot" w:pos="8787"/>
          <w:tab w:val="clear" w:pos="960"/>
          <w:tab w:val="clear" w:pos="8777"/>
        </w:tabs>
      </w:pPr>
      <w:r>
        <w:rPr>
          <w:bCs/>
          <w:lang w:val="zh-CN"/>
        </w:rPr>
        <w:fldChar w:fldCharType="begin"/>
      </w:r>
      <w:r>
        <w:rPr>
          <w:bCs/>
          <w:lang w:val="zh-CN"/>
        </w:rPr>
        <w:instrText xml:space="preserve"> HYPERLINK \l _Toc14597 </w:instrText>
      </w:r>
      <w:r>
        <w:rPr>
          <w:bCs/>
          <w:lang w:val="zh-CN"/>
        </w:rPr>
        <w:fldChar w:fldCharType="separate"/>
      </w:r>
      <w:r>
        <w:rPr>
          <w:rFonts w:hint="eastAsia" w:ascii="Times New Roman" w:hAnsi="Times New Roman"/>
        </w:rPr>
        <w:t>5</w:t>
      </w:r>
      <w:r>
        <w:rPr>
          <w:rFonts w:ascii="Times New Roman" w:hAnsi="Times New Roman"/>
        </w:rPr>
        <w:t>.3</w:t>
      </w:r>
      <w:r>
        <w:rPr>
          <w:rFonts w:hint="eastAsia" w:ascii="Times New Roman" w:hAnsi="Times New Roman"/>
          <w:szCs w:val="24"/>
        </w:rPr>
        <w:t xml:space="preserve"> </w:t>
      </w:r>
      <w:r>
        <w:rPr>
          <w:rFonts w:ascii="Times New Roman" w:hAnsi="Times New Roman"/>
        </w:rPr>
        <w:t>装置腐蚀定性分析</w:t>
      </w:r>
      <w:r>
        <w:tab/>
      </w:r>
      <w:r>
        <w:fldChar w:fldCharType="begin"/>
      </w:r>
      <w:r>
        <w:instrText xml:space="preserve"> PAGEREF _Toc14597 \h </w:instrText>
      </w:r>
      <w:r>
        <w:fldChar w:fldCharType="separate"/>
      </w:r>
      <w:r>
        <w:t>5</w:t>
      </w:r>
      <w:r>
        <w:fldChar w:fldCharType="end"/>
      </w:r>
      <w:r>
        <w:rPr>
          <w:bCs/>
          <w:lang w:val="zh-CN"/>
        </w:rPr>
        <w:fldChar w:fldCharType="end"/>
      </w:r>
    </w:p>
    <w:p w14:paraId="37F90F4F">
      <w:pPr>
        <w:pStyle w:val="21"/>
        <w:tabs>
          <w:tab w:val="right" w:leader="dot" w:pos="8787"/>
          <w:tab w:val="clear" w:pos="480"/>
          <w:tab w:val="clear" w:pos="8777"/>
        </w:tabs>
      </w:pPr>
      <w:r>
        <w:rPr>
          <w:bCs/>
          <w:lang w:val="zh-CN"/>
        </w:rPr>
        <w:fldChar w:fldCharType="begin"/>
      </w:r>
      <w:r>
        <w:rPr>
          <w:bCs/>
          <w:lang w:val="zh-CN"/>
        </w:rPr>
        <w:instrText xml:space="preserve"> HYPERLINK \l _Toc31213 </w:instrText>
      </w:r>
      <w:r>
        <w:rPr>
          <w:bCs/>
          <w:lang w:val="zh-CN"/>
        </w:rPr>
        <w:fldChar w:fldCharType="separate"/>
      </w:r>
      <w:r>
        <w:t>6. 物流划分</w:t>
      </w:r>
      <w:r>
        <w:tab/>
      </w:r>
      <w:r>
        <w:fldChar w:fldCharType="begin"/>
      </w:r>
      <w:r>
        <w:instrText xml:space="preserve"> PAGEREF _Toc31213 \h </w:instrText>
      </w:r>
      <w:r>
        <w:fldChar w:fldCharType="separate"/>
      </w:r>
      <w:r>
        <w:t>17</w:t>
      </w:r>
      <w:r>
        <w:fldChar w:fldCharType="end"/>
      </w:r>
      <w:r>
        <w:rPr>
          <w:bCs/>
          <w:lang w:val="zh-CN"/>
        </w:rPr>
        <w:fldChar w:fldCharType="end"/>
      </w:r>
    </w:p>
    <w:p w14:paraId="04D6F925">
      <w:pPr>
        <w:pStyle w:val="21"/>
        <w:tabs>
          <w:tab w:val="right" w:leader="dot" w:pos="8787"/>
          <w:tab w:val="clear" w:pos="480"/>
          <w:tab w:val="clear" w:pos="8777"/>
        </w:tabs>
      </w:pPr>
      <w:r>
        <w:rPr>
          <w:bCs/>
          <w:lang w:val="zh-CN"/>
        </w:rPr>
        <w:fldChar w:fldCharType="begin"/>
      </w:r>
      <w:r>
        <w:rPr>
          <w:bCs/>
          <w:lang w:val="zh-CN"/>
        </w:rPr>
        <w:instrText xml:space="preserve"> HYPERLINK \l _Toc30815 </w:instrText>
      </w:r>
      <w:r>
        <w:rPr>
          <w:bCs/>
          <w:lang w:val="zh-CN"/>
        </w:rPr>
        <w:fldChar w:fldCharType="separate"/>
      </w:r>
      <w:r>
        <w:t>7. 风险分析结果</w:t>
      </w:r>
      <w:r>
        <w:tab/>
      </w:r>
      <w:r>
        <w:fldChar w:fldCharType="begin"/>
      </w:r>
      <w:r>
        <w:instrText xml:space="preserve"> PAGEREF _Toc30815 \h </w:instrText>
      </w:r>
      <w:r>
        <w:fldChar w:fldCharType="separate"/>
      </w:r>
      <w:r>
        <w:t>20</w:t>
      </w:r>
      <w:r>
        <w:fldChar w:fldCharType="end"/>
      </w:r>
      <w:r>
        <w:rPr>
          <w:bCs/>
          <w:lang w:val="zh-CN"/>
        </w:rPr>
        <w:fldChar w:fldCharType="end"/>
      </w:r>
    </w:p>
    <w:p w14:paraId="351F392F">
      <w:pPr>
        <w:pStyle w:val="25"/>
        <w:tabs>
          <w:tab w:val="right" w:leader="dot" w:pos="8787"/>
          <w:tab w:val="clear" w:pos="960"/>
          <w:tab w:val="clear" w:pos="8777"/>
        </w:tabs>
      </w:pPr>
      <w:r>
        <w:rPr>
          <w:bCs/>
          <w:lang w:val="zh-CN"/>
        </w:rPr>
        <w:fldChar w:fldCharType="begin"/>
      </w:r>
      <w:r>
        <w:rPr>
          <w:bCs/>
          <w:lang w:val="zh-CN"/>
        </w:rPr>
        <w:instrText xml:space="preserve"> HYPERLINK \l _Toc2933 </w:instrText>
      </w:r>
      <w:r>
        <w:rPr>
          <w:bCs/>
          <w:lang w:val="zh-CN"/>
        </w:rPr>
        <w:fldChar w:fldCharType="separate"/>
      </w:r>
      <w:r>
        <w:rPr>
          <w:rFonts w:hint="eastAsia" w:ascii="Times New Roman" w:hAnsi="Times New Roman"/>
          <w:bCs w:val="0"/>
          <w:szCs w:val="24"/>
        </w:rPr>
        <w:t>7</w:t>
      </w:r>
      <w:r>
        <w:rPr>
          <w:rFonts w:ascii="Times New Roman" w:hAnsi="Times New Roman"/>
          <w:bCs w:val="0"/>
          <w:szCs w:val="24"/>
        </w:rPr>
        <w:t>.1</w:t>
      </w:r>
      <w:r>
        <w:rPr>
          <w:rFonts w:hint="eastAsia" w:ascii="Times New Roman" w:hAnsi="Times New Roman"/>
          <w:szCs w:val="24"/>
        </w:rPr>
        <w:t xml:space="preserve"> </w:t>
      </w:r>
      <w:r>
        <w:rPr>
          <w:rFonts w:ascii="Times New Roman" w:hAnsi="Times New Roman"/>
          <w:szCs w:val="24"/>
        </w:rPr>
        <w:t>风险</w:t>
      </w:r>
      <w:r>
        <w:rPr>
          <w:rFonts w:ascii="Times New Roman" w:hAnsi="Times New Roman"/>
          <w:bCs w:val="0"/>
          <w:szCs w:val="24"/>
        </w:rPr>
        <w:t>分布</w:t>
      </w:r>
      <w:r>
        <w:tab/>
      </w:r>
      <w:r>
        <w:fldChar w:fldCharType="begin"/>
      </w:r>
      <w:r>
        <w:instrText xml:space="preserve"> PAGEREF _Toc2933 \h </w:instrText>
      </w:r>
      <w:r>
        <w:fldChar w:fldCharType="separate"/>
      </w:r>
      <w:r>
        <w:t>20</w:t>
      </w:r>
      <w:r>
        <w:fldChar w:fldCharType="end"/>
      </w:r>
      <w:r>
        <w:rPr>
          <w:bCs/>
          <w:lang w:val="zh-CN"/>
        </w:rPr>
        <w:fldChar w:fldCharType="end"/>
      </w:r>
    </w:p>
    <w:p w14:paraId="355AD66E">
      <w:pPr>
        <w:pStyle w:val="25"/>
        <w:tabs>
          <w:tab w:val="right" w:leader="dot" w:pos="8787"/>
          <w:tab w:val="clear" w:pos="960"/>
          <w:tab w:val="clear" w:pos="8777"/>
        </w:tabs>
      </w:pPr>
      <w:r>
        <w:rPr>
          <w:bCs/>
          <w:lang w:val="zh-CN"/>
        </w:rPr>
        <w:fldChar w:fldCharType="begin"/>
      </w:r>
      <w:r>
        <w:rPr>
          <w:bCs/>
          <w:lang w:val="zh-CN"/>
        </w:rPr>
        <w:instrText xml:space="preserve"> HYPERLINK \l _Toc28957 </w:instrText>
      </w:r>
      <w:r>
        <w:rPr>
          <w:bCs/>
          <w:lang w:val="zh-CN"/>
        </w:rPr>
        <w:fldChar w:fldCharType="separate"/>
      </w:r>
      <w:r>
        <w:rPr>
          <w:rFonts w:hint="eastAsia" w:ascii="Times New Roman" w:hAnsi="Times New Roman"/>
          <w:bCs w:val="0"/>
          <w:szCs w:val="24"/>
        </w:rPr>
        <w:t>7</w:t>
      </w:r>
      <w:r>
        <w:rPr>
          <w:rFonts w:ascii="Times New Roman" w:hAnsi="Times New Roman"/>
          <w:bCs w:val="0"/>
          <w:szCs w:val="24"/>
        </w:rPr>
        <w:t>.</w:t>
      </w:r>
      <w:r>
        <w:rPr>
          <w:rFonts w:hint="eastAsia" w:ascii="Times New Roman" w:hAnsi="Times New Roman"/>
          <w:bCs w:val="0"/>
          <w:szCs w:val="24"/>
        </w:rPr>
        <w:t>2</w:t>
      </w:r>
      <w:r>
        <w:rPr>
          <w:rFonts w:hint="eastAsia" w:ascii="Times New Roman" w:hAnsi="Times New Roman"/>
        </w:rPr>
        <w:t xml:space="preserve"> </w:t>
      </w:r>
      <w:r>
        <w:rPr>
          <w:rFonts w:ascii="Times New Roman" w:hAnsi="Times New Roman"/>
          <w:bCs w:val="0"/>
          <w:szCs w:val="24"/>
        </w:rPr>
        <w:t>高风险及高失效可能性设备原因分析</w:t>
      </w:r>
      <w:r>
        <w:tab/>
      </w:r>
      <w:r>
        <w:fldChar w:fldCharType="begin"/>
      </w:r>
      <w:r>
        <w:instrText xml:space="preserve"> PAGEREF _Toc28957 \h </w:instrText>
      </w:r>
      <w:r>
        <w:fldChar w:fldCharType="separate"/>
      </w:r>
      <w:r>
        <w:t>20</w:t>
      </w:r>
      <w:r>
        <w:fldChar w:fldCharType="end"/>
      </w:r>
      <w:r>
        <w:rPr>
          <w:bCs/>
          <w:lang w:val="zh-CN"/>
        </w:rPr>
        <w:fldChar w:fldCharType="end"/>
      </w:r>
    </w:p>
    <w:p w14:paraId="1C639AF2">
      <w:pPr>
        <w:pStyle w:val="25"/>
        <w:tabs>
          <w:tab w:val="right" w:leader="dot" w:pos="8787"/>
          <w:tab w:val="clear" w:pos="960"/>
          <w:tab w:val="clear" w:pos="8777"/>
        </w:tabs>
      </w:pPr>
      <w:r>
        <w:rPr>
          <w:bCs/>
          <w:lang w:val="zh-CN"/>
        </w:rPr>
        <w:fldChar w:fldCharType="begin"/>
      </w:r>
      <w:r>
        <w:rPr>
          <w:bCs/>
          <w:lang w:val="zh-CN"/>
        </w:rPr>
        <w:instrText xml:space="preserve"> HYPERLINK \l _Toc17626 </w:instrText>
      </w:r>
      <w:r>
        <w:rPr>
          <w:bCs/>
          <w:lang w:val="zh-CN"/>
        </w:rPr>
        <w:fldChar w:fldCharType="separate"/>
      </w:r>
      <w:r>
        <w:rPr>
          <w:rFonts w:hint="eastAsia" w:ascii="Times New Roman" w:hAnsi="Times New Roman"/>
          <w:bCs w:val="0"/>
          <w:szCs w:val="24"/>
        </w:rPr>
        <w:t>7</w:t>
      </w:r>
      <w:r>
        <w:rPr>
          <w:rFonts w:ascii="Times New Roman" w:hAnsi="Times New Roman"/>
          <w:bCs w:val="0"/>
          <w:szCs w:val="24"/>
        </w:rPr>
        <w:t>.</w:t>
      </w:r>
      <w:r>
        <w:rPr>
          <w:rFonts w:hint="eastAsia" w:ascii="Times New Roman" w:hAnsi="Times New Roman"/>
          <w:bCs w:val="0"/>
          <w:szCs w:val="24"/>
        </w:rPr>
        <w:t>3 降险措施</w:t>
      </w:r>
      <w:r>
        <w:tab/>
      </w:r>
      <w:r>
        <w:fldChar w:fldCharType="begin"/>
      </w:r>
      <w:r>
        <w:instrText xml:space="preserve"> PAGEREF _Toc17626 \h </w:instrText>
      </w:r>
      <w:r>
        <w:fldChar w:fldCharType="separate"/>
      </w:r>
      <w:r>
        <w:t>20</w:t>
      </w:r>
      <w:r>
        <w:fldChar w:fldCharType="end"/>
      </w:r>
      <w:r>
        <w:rPr>
          <w:bCs/>
          <w:lang w:val="zh-CN"/>
        </w:rPr>
        <w:fldChar w:fldCharType="end"/>
      </w:r>
    </w:p>
    <w:p w14:paraId="33D40621">
      <w:pPr>
        <w:pStyle w:val="21"/>
        <w:tabs>
          <w:tab w:val="right" w:leader="dot" w:pos="8787"/>
          <w:tab w:val="clear" w:pos="480"/>
          <w:tab w:val="clear" w:pos="8777"/>
        </w:tabs>
      </w:pPr>
      <w:r>
        <w:rPr>
          <w:bCs/>
          <w:lang w:val="zh-CN"/>
        </w:rPr>
        <w:fldChar w:fldCharType="begin"/>
      </w:r>
      <w:r>
        <w:rPr>
          <w:bCs/>
          <w:lang w:val="zh-CN"/>
        </w:rPr>
        <w:instrText xml:space="preserve"> HYPERLINK \l _Toc22329 </w:instrText>
      </w:r>
      <w:r>
        <w:rPr>
          <w:bCs/>
          <w:lang w:val="zh-CN"/>
        </w:rPr>
        <w:fldChar w:fldCharType="separate"/>
      </w:r>
      <w:r>
        <w:t>8. 检验策略</w:t>
      </w:r>
      <w:r>
        <w:tab/>
      </w:r>
      <w:r>
        <w:fldChar w:fldCharType="begin"/>
      </w:r>
      <w:r>
        <w:instrText xml:space="preserve"> PAGEREF _Toc22329 \h </w:instrText>
      </w:r>
      <w:r>
        <w:fldChar w:fldCharType="separate"/>
      </w:r>
      <w:r>
        <w:t>20</w:t>
      </w:r>
      <w:r>
        <w:fldChar w:fldCharType="end"/>
      </w:r>
      <w:r>
        <w:rPr>
          <w:bCs/>
          <w:lang w:val="zh-CN"/>
        </w:rPr>
        <w:fldChar w:fldCharType="end"/>
      </w:r>
    </w:p>
    <w:p w14:paraId="6B4FC555">
      <w:pPr>
        <w:pStyle w:val="25"/>
        <w:tabs>
          <w:tab w:val="right" w:leader="dot" w:pos="8787"/>
          <w:tab w:val="clear" w:pos="960"/>
          <w:tab w:val="clear" w:pos="8777"/>
        </w:tabs>
      </w:pPr>
      <w:r>
        <w:rPr>
          <w:bCs/>
          <w:lang w:val="zh-CN"/>
        </w:rPr>
        <w:fldChar w:fldCharType="begin"/>
      </w:r>
      <w:r>
        <w:rPr>
          <w:bCs/>
          <w:lang w:val="zh-CN"/>
        </w:rPr>
        <w:instrText xml:space="preserve"> HYPERLINK \l _Toc25672 </w:instrText>
      </w:r>
      <w:r>
        <w:rPr>
          <w:bCs/>
          <w:lang w:val="zh-CN"/>
        </w:rPr>
        <w:fldChar w:fldCharType="separate"/>
      </w:r>
      <w:r>
        <w:rPr>
          <w:rFonts w:hint="eastAsia" w:ascii="Times New Roman" w:hAnsi="Times New Roman"/>
          <w:bCs w:val="0"/>
          <w:szCs w:val="24"/>
        </w:rPr>
        <w:t>8</w:t>
      </w:r>
      <w:r>
        <w:rPr>
          <w:rFonts w:ascii="Times New Roman" w:hAnsi="Times New Roman"/>
          <w:bCs w:val="0"/>
          <w:szCs w:val="24"/>
        </w:rPr>
        <w:t>.1</w:t>
      </w:r>
      <w:r>
        <w:rPr>
          <w:rFonts w:hint="eastAsia" w:ascii="Times New Roman" w:hAnsi="Times New Roman"/>
          <w:bCs w:val="0"/>
          <w:szCs w:val="24"/>
        </w:rPr>
        <w:t xml:space="preserve"> </w:t>
      </w:r>
      <w:r>
        <w:rPr>
          <w:rFonts w:ascii="Times New Roman" w:hAnsi="Times New Roman"/>
          <w:bCs w:val="0"/>
          <w:szCs w:val="24"/>
        </w:rPr>
        <w:t>检验策略制定的基本原则</w:t>
      </w:r>
      <w:r>
        <w:tab/>
      </w:r>
      <w:r>
        <w:fldChar w:fldCharType="begin"/>
      </w:r>
      <w:r>
        <w:instrText xml:space="preserve"> PAGEREF _Toc25672 \h </w:instrText>
      </w:r>
      <w:r>
        <w:fldChar w:fldCharType="separate"/>
      </w:r>
      <w:r>
        <w:t>21</w:t>
      </w:r>
      <w:r>
        <w:fldChar w:fldCharType="end"/>
      </w:r>
      <w:r>
        <w:rPr>
          <w:bCs/>
          <w:lang w:val="zh-CN"/>
        </w:rPr>
        <w:fldChar w:fldCharType="end"/>
      </w:r>
    </w:p>
    <w:p w14:paraId="7E1962D5">
      <w:pPr>
        <w:pStyle w:val="25"/>
        <w:tabs>
          <w:tab w:val="right" w:leader="dot" w:pos="8787"/>
          <w:tab w:val="clear" w:pos="960"/>
          <w:tab w:val="clear" w:pos="8777"/>
        </w:tabs>
      </w:pPr>
      <w:r>
        <w:rPr>
          <w:bCs/>
          <w:lang w:val="zh-CN"/>
        </w:rPr>
        <w:fldChar w:fldCharType="begin"/>
      </w:r>
      <w:r>
        <w:rPr>
          <w:bCs/>
          <w:lang w:val="zh-CN"/>
        </w:rPr>
        <w:instrText xml:space="preserve"> HYPERLINK \l _Toc27077 </w:instrText>
      </w:r>
      <w:r>
        <w:rPr>
          <w:bCs/>
          <w:lang w:val="zh-CN"/>
        </w:rPr>
        <w:fldChar w:fldCharType="separate"/>
      </w:r>
      <w:r>
        <w:rPr>
          <w:rFonts w:hint="eastAsia" w:ascii="Times New Roman" w:hAnsi="Times New Roman"/>
          <w:bCs w:val="0"/>
          <w:szCs w:val="24"/>
        </w:rPr>
        <w:t>8</w:t>
      </w:r>
      <w:r>
        <w:rPr>
          <w:rFonts w:ascii="Times New Roman" w:hAnsi="Times New Roman"/>
          <w:bCs w:val="0"/>
          <w:szCs w:val="24"/>
        </w:rPr>
        <w:t>.2</w:t>
      </w:r>
      <w:r>
        <w:rPr>
          <w:rFonts w:hint="eastAsia" w:ascii="Times New Roman" w:hAnsi="Times New Roman"/>
          <w:bCs w:val="0"/>
          <w:szCs w:val="24"/>
        </w:rPr>
        <w:t xml:space="preserve"> </w:t>
      </w:r>
      <w:r>
        <w:rPr>
          <w:rFonts w:ascii="Times New Roman" w:hAnsi="Times New Roman"/>
          <w:bCs w:val="0"/>
          <w:szCs w:val="24"/>
        </w:rPr>
        <w:t>设备检验策略</w:t>
      </w:r>
      <w:r>
        <w:tab/>
      </w:r>
      <w:r>
        <w:fldChar w:fldCharType="begin"/>
      </w:r>
      <w:r>
        <w:instrText xml:space="preserve"> PAGEREF _Toc27077 \h </w:instrText>
      </w:r>
      <w:r>
        <w:fldChar w:fldCharType="separate"/>
      </w:r>
      <w:r>
        <w:t>21</w:t>
      </w:r>
      <w:r>
        <w:fldChar w:fldCharType="end"/>
      </w:r>
      <w:r>
        <w:rPr>
          <w:bCs/>
          <w:lang w:val="zh-CN"/>
        </w:rPr>
        <w:fldChar w:fldCharType="end"/>
      </w:r>
    </w:p>
    <w:p w14:paraId="0DD5AA70">
      <w:pPr>
        <w:pStyle w:val="25"/>
        <w:tabs>
          <w:tab w:val="right" w:leader="dot" w:pos="8787"/>
          <w:tab w:val="clear" w:pos="960"/>
          <w:tab w:val="clear" w:pos="8777"/>
        </w:tabs>
      </w:pPr>
      <w:r>
        <w:rPr>
          <w:bCs/>
          <w:lang w:val="zh-CN"/>
        </w:rPr>
        <w:fldChar w:fldCharType="begin"/>
      </w:r>
      <w:r>
        <w:rPr>
          <w:bCs/>
          <w:lang w:val="zh-CN"/>
        </w:rPr>
        <w:instrText xml:space="preserve"> HYPERLINK \l _Toc10175 </w:instrText>
      </w:r>
      <w:r>
        <w:rPr>
          <w:bCs/>
          <w:lang w:val="zh-CN"/>
        </w:rPr>
        <w:fldChar w:fldCharType="separate"/>
      </w:r>
      <w:r>
        <w:rPr>
          <w:rFonts w:hint="eastAsia" w:ascii="Times New Roman" w:hAnsi="Times New Roman"/>
          <w:bCs w:val="0"/>
          <w:szCs w:val="24"/>
        </w:rPr>
        <w:t>8</w:t>
      </w:r>
      <w:r>
        <w:rPr>
          <w:rFonts w:ascii="Times New Roman" w:hAnsi="Times New Roman"/>
          <w:bCs w:val="0"/>
          <w:szCs w:val="24"/>
        </w:rPr>
        <w:t>.3</w:t>
      </w:r>
      <w:r>
        <w:rPr>
          <w:rFonts w:hint="eastAsia" w:ascii="Times New Roman" w:hAnsi="Times New Roman"/>
          <w:bCs w:val="0"/>
          <w:szCs w:val="24"/>
        </w:rPr>
        <w:t xml:space="preserve"> </w:t>
      </w:r>
      <w:r>
        <w:rPr>
          <w:rFonts w:ascii="Times New Roman" w:hAnsi="Times New Roman"/>
          <w:bCs w:val="0"/>
          <w:szCs w:val="24"/>
        </w:rPr>
        <w:t>管道检验策略</w:t>
      </w:r>
      <w:r>
        <w:tab/>
      </w:r>
      <w:r>
        <w:fldChar w:fldCharType="begin"/>
      </w:r>
      <w:r>
        <w:instrText xml:space="preserve"> PAGEREF _Toc10175 \h </w:instrText>
      </w:r>
      <w:r>
        <w:fldChar w:fldCharType="separate"/>
      </w:r>
      <w:r>
        <w:t>22</w:t>
      </w:r>
      <w:r>
        <w:fldChar w:fldCharType="end"/>
      </w:r>
      <w:r>
        <w:rPr>
          <w:bCs/>
          <w:lang w:val="zh-CN"/>
        </w:rPr>
        <w:fldChar w:fldCharType="end"/>
      </w:r>
    </w:p>
    <w:p w14:paraId="291CCD87">
      <w:pPr>
        <w:pStyle w:val="21"/>
        <w:tabs>
          <w:tab w:val="right" w:leader="dot" w:pos="8787"/>
          <w:tab w:val="clear" w:pos="480"/>
          <w:tab w:val="clear" w:pos="8777"/>
        </w:tabs>
      </w:pPr>
      <w:r>
        <w:rPr>
          <w:bCs/>
          <w:lang w:val="zh-CN"/>
        </w:rPr>
        <w:fldChar w:fldCharType="begin"/>
      </w:r>
      <w:r>
        <w:rPr>
          <w:bCs/>
          <w:lang w:val="zh-CN"/>
        </w:rPr>
        <w:instrText xml:space="preserve"> HYPERLINK \l _Toc17712 </w:instrText>
      </w:r>
      <w:r>
        <w:rPr>
          <w:bCs/>
          <w:lang w:val="zh-CN"/>
        </w:rPr>
        <w:fldChar w:fldCharType="separate"/>
      </w:r>
      <w:r>
        <w:t>9. 结束语</w:t>
      </w:r>
      <w:r>
        <w:tab/>
      </w:r>
      <w:r>
        <w:fldChar w:fldCharType="begin"/>
      </w:r>
      <w:r>
        <w:instrText xml:space="preserve"> PAGEREF _Toc17712 \h </w:instrText>
      </w:r>
      <w:r>
        <w:fldChar w:fldCharType="separate"/>
      </w:r>
      <w:r>
        <w:t>22</w:t>
      </w:r>
      <w:r>
        <w:fldChar w:fldCharType="end"/>
      </w:r>
      <w:r>
        <w:rPr>
          <w:bCs/>
          <w:lang w:val="zh-CN"/>
        </w:rPr>
        <w:fldChar w:fldCharType="end"/>
      </w:r>
    </w:p>
    <w:p w14:paraId="0334094C">
      <w:pPr>
        <w:pStyle w:val="21"/>
        <w:tabs>
          <w:tab w:val="right" w:leader="dot" w:pos="8787"/>
          <w:tab w:val="clear" w:pos="480"/>
          <w:tab w:val="clear" w:pos="8777"/>
        </w:tabs>
      </w:pPr>
      <w:r>
        <w:rPr>
          <w:bCs/>
          <w:lang w:val="zh-CN"/>
        </w:rPr>
        <w:fldChar w:fldCharType="begin"/>
      </w:r>
      <w:r>
        <w:rPr>
          <w:bCs/>
          <w:lang w:val="zh-CN"/>
        </w:rPr>
        <w:instrText xml:space="preserve"> HYPERLINK \l _Toc24245 </w:instrText>
      </w:r>
      <w:r>
        <w:rPr>
          <w:bCs/>
          <w:lang w:val="zh-CN"/>
        </w:rPr>
        <w:fldChar w:fldCharType="separate"/>
      </w:r>
      <w:r>
        <w:rPr>
          <w:rFonts w:ascii="Times New Roman" w:hAnsi="Times New Roman"/>
          <w:kern w:val="2"/>
        </w:rPr>
        <w:t>附录</w:t>
      </w:r>
      <w:r>
        <w:tab/>
      </w:r>
      <w:r>
        <w:fldChar w:fldCharType="begin"/>
      </w:r>
      <w:r>
        <w:instrText xml:space="preserve"> PAGEREF _Toc24245 \h </w:instrText>
      </w:r>
      <w:r>
        <w:fldChar w:fldCharType="separate"/>
      </w:r>
      <w:r>
        <w:t>23</w:t>
      </w:r>
      <w:r>
        <w:fldChar w:fldCharType="end"/>
      </w:r>
      <w:r>
        <w:rPr>
          <w:bCs/>
          <w:lang w:val="zh-CN"/>
        </w:rPr>
        <w:fldChar w:fldCharType="end"/>
      </w:r>
    </w:p>
    <w:p w14:paraId="5F567590">
      <w:pPr>
        <w:pStyle w:val="25"/>
        <w:tabs>
          <w:tab w:val="right" w:leader="dot" w:pos="8787"/>
          <w:tab w:val="clear" w:pos="960"/>
          <w:tab w:val="clear" w:pos="8777"/>
        </w:tabs>
      </w:pPr>
      <w:r>
        <w:rPr>
          <w:bCs/>
          <w:lang w:val="zh-CN"/>
        </w:rPr>
        <w:fldChar w:fldCharType="begin"/>
      </w:r>
      <w:r>
        <w:rPr>
          <w:bCs/>
          <w:lang w:val="zh-CN"/>
        </w:rPr>
        <w:instrText xml:space="preserve"> HYPERLINK \l _Toc5325 </w:instrText>
      </w:r>
      <w:r>
        <w:rPr>
          <w:bCs/>
          <w:lang w:val="zh-CN"/>
        </w:rPr>
        <w:fldChar w:fldCharType="separate"/>
      </w:r>
      <w:r>
        <w:rPr>
          <w:rFonts w:ascii="Times New Roman" w:hAnsi="Times New Roman"/>
        </w:rPr>
        <w:t>附录1. 设备基础数据表</w:t>
      </w:r>
      <w:r>
        <w:tab/>
      </w:r>
      <w:r>
        <w:fldChar w:fldCharType="begin"/>
      </w:r>
      <w:r>
        <w:instrText xml:space="preserve"> PAGEREF _Toc5325 \h </w:instrText>
      </w:r>
      <w:r>
        <w:fldChar w:fldCharType="separate"/>
      </w:r>
      <w:r>
        <w:t>23</w:t>
      </w:r>
      <w:r>
        <w:fldChar w:fldCharType="end"/>
      </w:r>
      <w:r>
        <w:rPr>
          <w:bCs/>
          <w:lang w:val="zh-CN"/>
        </w:rPr>
        <w:fldChar w:fldCharType="end"/>
      </w:r>
    </w:p>
    <w:p w14:paraId="4F9E779E">
      <w:pPr>
        <w:pStyle w:val="25"/>
        <w:tabs>
          <w:tab w:val="right" w:leader="dot" w:pos="8787"/>
          <w:tab w:val="clear" w:pos="960"/>
          <w:tab w:val="clear" w:pos="8777"/>
        </w:tabs>
      </w:pPr>
      <w:r>
        <w:rPr>
          <w:bCs/>
          <w:lang w:val="zh-CN"/>
        </w:rPr>
        <w:fldChar w:fldCharType="begin"/>
      </w:r>
      <w:r>
        <w:rPr>
          <w:bCs/>
          <w:lang w:val="zh-CN"/>
        </w:rPr>
        <w:instrText xml:space="preserve"> HYPERLINK \l _Toc8703 </w:instrText>
      </w:r>
      <w:r>
        <w:rPr>
          <w:bCs/>
          <w:lang w:val="zh-CN"/>
        </w:rPr>
        <w:fldChar w:fldCharType="separate"/>
      </w:r>
      <w:r>
        <w:rPr>
          <w:rFonts w:ascii="Times New Roman" w:hAnsi="Times New Roman"/>
        </w:rPr>
        <w:t xml:space="preserve">附录2. </w:t>
      </w:r>
      <w:r>
        <w:rPr>
          <w:rFonts w:hint="eastAsia" w:ascii="Times New Roman" w:hAnsi="Times New Roman"/>
        </w:rPr>
        <w:t>设备</w:t>
      </w:r>
      <w:r>
        <w:rPr>
          <w:rFonts w:ascii="Times New Roman" w:hAnsi="Times New Roman"/>
        </w:rPr>
        <w:t>风险等级、损伤机理及检验策略</w:t>
      </w:r>
      <w:r>
        <w:tab/>
      </w:r>
      <w:r>
        <w:fldChar w:fldCharType="begin"/>
      </w:r>
      <w:r>
        <w:instrText xml:space="preserve"> PAGEREF _Toc8703 \h </w:instrText>
      </w:r>
      <w:r>
        <w:fldChar w:fldCharType="separate"/>
      </w:r>
      <w:r>
        <w:t>23</w:t>
      </w:r>
      <w:r>
        <w:fldChar w:fldCharType="end"/>
      </w:r>
      <w:r>
        <w:rPr>
          <w:bCs/>
          <w:lang w:val="zh-CN"/>
        </w:rPr>
        <w:fldChar w:fldCharType="end"/>
      </w:r>
    </w:p>
    <w:p w14:paraId="71840292">
      <w:pPr>
        <w:pStyle w:val="25"/>
        <w:tabs>
          <w:tab w:val="right" w:leader="dot" w:pos="8787"/>
          <w:tab w:val="clear" w:pos="960"/>
          <w:tab w:val="clear" w:pos="8777"/>
        </w:tabs>
      </w:pPr>
      <w:r>
        <w:rPr>
          <w:bCs/>
          <w:lang w:val="zh-CN"/>
        </w:rPr>
        <w:fldChar w:fldCharType="begin"/>
      </w:r>
      <w:r>
        <w:rPr>
          <w:bCs/>
          <w:lang w:val="zh-CN"/>
        </w:rPr>
        <w:instrText xml:space="preserve"> HYPERLINK \l _Toc1450 </w:instrText>
      </w:r>
      <w:r>
        <w:rPr>
          <w:bCs/>
          <w:lang w:val="zh-CN"/>
        </w:rPr>
        <w:fldChar w:fldCharType="separate"/>
      </w:r>
      <w:r>
        <w:rPr>
          <w:rFonts w:ascii="Times New Roman" w:hAnsi="Times New Roman"/>
        </w:rPr>
        <w:t>附录3. 管道基础数据表</w:t>
      </w:r>
      <w:r>
        <w:tab/>
      </w:r>
      <w:r>
        <w:fldChar w:fldCharType="begin"/>
      </w:r>
      <w:r>
        <w:instrText xml:space="preserve"> PAGEREF _Toc1450 \h </w:instrText>
      </w:r>
      <w:r>
        <w:fldChar w:fldCharType="separate"/>
      </w:r>
      <w:r>
        <w:t>23</w:t>
      </w:r>
      <w:r>
        <w:fldChar w:fldCharType="end"/>
      </w:r>
      <w:r>
        <w:rPr>
          <w:bCs/>
          <w:lang w:val="zh-CN"/>
        </w:rPr>
        <w:fldChar w:fldCharType="end"/>
      </w:r>
    </w:p>
    <w:p w14:paraId="7ADEEE62">
      <w:pPr>
        <w:pStyle w:val="25"/>
        <w:tabs>
          <w:tab w:val="right" w:leader="dot" w:pos="8787"/>
          <w:tab w:val="clear" w:pos="960"/>
          <w:tab w:val="clear" w:pos="8777"/>
        </w:tabs>
      </w:pPr>
      <w:r>
        <w:rPr>
          <w:bCs/>
          <w:lang w:val="zh-CN"/>
        </w:rPr>
        <w:fldChar w:fldCharType="begin"/>
      </w:r>
      <w:r>
        <w:rPr>
          <w:bCs/>
          <w:lang w:val="zh-CN"/>
        </w:rPr>
        <w:instrText xml:space="preserve"> HYPERLINK \l _Toc11223 </w:instrText>
      </w:r>
      <w:r>
        <w:rPr>
          <w:bCs/>
          <w:lang w:val="zh-CN"/>
        </w:rPr>
        <w:fldChar w:fldCharType="separate"/>
      </w:r>
      <w:r>
        <w:rPr>
          <w:rFonts w:ascii="Times New Roman" w:hAnsi="Times New Roman"/>
        </w:rPr>
        <w:t>附录4. 管道风险等级、损伤机理及检验策略</w:t>
      </w:r>
      <w:r>
        <w:tab/>
      </w:r>
      <w:r>
        <w:fldChar w:fldCharType="begin"/>
      </w:r>
      <w:r>
        <w:instrText xml:space="preserve"> PAGEREF _Toc11223 \h </w:instrText>
      </w:r>
      <w:r>
        <w:fldChar w:fldCharType="separate"/>
      </w:r>
      <w:r>
        <w:t>23</w:t>
      </w:r>
      <w:r>
        <w:fldChar w:fldCharType="end"/>
      </w:r>
      <w:r>
        <w:rPr>
          <w:bCs/>
          <w:lang w:val="zh-CN"/>
        </w:rPr>
        <w:fldChar w:fldCharType="end"/>
      </w:r>
    </w:p>
    <w:p w14:paraId="385CD8EB">
      <w:pPr>
        <w:pStyle w:val="25"/>
        <w:spacing w:line="360" w:lineRule="auto"/>
        <w:ind w:left="480"/>
        <w:rPr>
          <w:bCs/>
        </w:rPr>
        <w:sectPr>
          <w:pgSz w:w="11906" w:h="16838"/>
          <w:pgMar w:top="1134" w:right="1418" w:bottom="1134" w:left="1701" w:header="1134" w:footer="1134" w:gutter="0"/>
          <w:pgNumType w:fmt="upperRoman" w:start="1"/>
          <w:cols w:space="720" w:num="1"/>
          <w:titlePg/>
          <w:docGrid w:type="lines" w:linePitch="460" w:charSpace="0"/>
        </w:sectPr>
      </w:pPr>
      <w:r>
        <w:rPr>
          <w:bCs/>
          <w:lang w:val="zh-CN"/>
        </w:rPr>
        <w:fldChar w:fldCharType="end"/>
      </w:r>
    </w:p>
    <w:p w14:paraId="17E527F8">
      <w:pPr>
        <w:pStyle w:val="2"/>
        <w:numPr>
          <w:ilvl w:val="0"/>
          <w:numId w:val="3"/>
        </w:numPr>
        <w:spacing w:before="230" w:after="230"/>
      </w:pPr>
      <w:bookmarkStart w:id="1" w:name="_Toc98261443"/>
      <w:bookmarkStart w:id="2" w:name="_Toc326585985"/>
      <w:bookmarkStart w:id="3" w:name="_Toc325294274"/>
      <w:bookmarkStart w:id="4" w:name="_Toc327251560"/>
      <w:bookmarkStart w:id="5" w:name="_Toc480551513"/>
      <w:bookmarkStart w:id="6" w:name="_Toc326849994"/>
      <w:bookmarkStart w:id="7" w:name="_Toc326808347"/>
      <w:bookmarkStart w:id="8" w:name="_Toc9916"/>
      <w:r>
        <w:t>项目</w:t>
      </w:r>
      <w:bookmarkEnd w:id="1"/>
      <w:r>
        <w:t>综述</w:t>
      </w:r>
      <w:bookmarkEnd w:id="2"/>
      <w:bookmarkEnd w:id="3"/>
      <w:bookmarkEnd w:id="4"/>
      <w:bookmarkEnd w:id="5"/>
      <w:bookmarkEnd w:id="6"/>
      <w:bookmarkEnd w:id="7"/>
      <w:bookmarkEnd w:id="8"/>
    </w:p>
    <w:p w14:paraId="3E1E1328">
      <w:pPr>
        <w:pStyle w:val="3"/>
        <w:spacing w:before="115" w:beforeLines="25" w:after="115" w:afterLines="25" w:line="240" w:lineRule="auto"/>
        <w:rPr>
          <w:rFonts w:ascii="Times New Roman" w:hAnsi="Times New Roman"/>
          <w:sz w:val="24"/>
          <w:szCs w:val="24"/>
        </w:rPr>
      </w:pPr>
      <w:bookmarkStart w:id="9" w:name="_Toc326808348"/>
      <w:bookmarkStart w:id="10" w:name="_Toc12432"/>
      <w:bookmarkStart w:id="11" w:name="_Toc480551514"/>
      <w:bookmarkStart w:id="12" w:name="_Toc327251561"/>
      <w:bookmarkStart w:id="13" w:name="_Toc325294275"/>
      <w:bookmarkStart w:id="14" w:name="_Toc326585986"/>
      <w:bookmarkStart w:id="15" w:name="_Toc326849995"/>
      <w:r>
        <w:rPr>
          <w:rFonts w:ascii="Times New Roman" w:hAnsi="Times New Roman"/>
          <w:sz w:val="24"/>
          <w:szCs w:val="24"/>
        </w:rPr>
        <w:t>1.1</w:t>
      </w:r>
      <w:r>
        <w:rPr>
          <w:rFonts w:hint="eastAsia" w:ascii="Times New Roman" w:hAnsi="Times New Roman"/>
          <w:sz w:val="24"/>
          <w:szCs w:val="24"/>
        </w:rPr>
        <w:t xml:space="preserve"> </w:t>
      </w:r>
      <w:r>
        <w:rPr>
          <w:rFonts w:ascii="Times New Roman" w:hAnsi="Times New Roman"/>
          <w:sz w:val="24"/>
          <w:szCs w:val="24"/>
        </w:rPr>
        <w:t>概况</w:t>
      </w:r>
      <w:bookmarkEnd w:id="9"/>
      <w:bookmarkEnd w:id="10"/>
      <w:bookmarkEnd w:id="11"/>
      <w:bookmarkEnd w:id="12"/>
      <w:bookmarkEnd w:id="13"/>
      <w:bookmarkEnd w:id="14"/>
      <w:bookmarkEnd w:id="15"/>
    </w:p>
    <w:p w14:paraId="3689985F">
      <w:pPr>
        <w:spacing w:line="240" w:lineRule="auto"/>
        <w:ind w:firstLine="480" w:firstLineChars="200"/>
        <w:jc w:val="both"/>
        <w:rPr>
          <w:rFonts w:ascii="Times New Roman" w:hAnsi="Times New Roman"/>
          <w:bCs/>
        </w:rPr>
      </w:pPr>
      <w:r>
        <w:rPr>
          <w:rFonts w:hint="eastAsia"/>
          <w:bCs/>
          <w:color w:val="000000"/>
        </w:rPr>
        <w:t>受中国石油化工股份有限公司荆门分公司(以下简称荆门石化)的委托，国机特种设备检验有限公司承担该公司丙烷等装置部分压力容器风险评估(Risk-Based Inspection)项目。该项目是在荆门石化领导与装置工作人员的大力支持与配合下，利用国机特种设备检验有限公司自主开发的先进的RBI软件(通用石化装置工程风险分析系统)，结合国机特种设备检验有限公司在设备检验检测方面的技术优势、丰富的检验数据以及对国内石化企业进行RBI工作所积累的经验来完成</w:t>
      </w:r>
      <w:r>
        <w:rPr>
          <w:rFonts w:ascii="Times New Roman" w:hAnsi="Times New Roman"/>
          <w:bCs/>
        </w:rPr>
        <w:t>。</w:t>
      </w:r>
    </w:p>
    <w:p w14:paraId="69B02152">
      <w:pPr>
        <w:pStyle w:val="3"/>
        <w:spacing w:before="115" w:beforeLines="25" w:after="115" w:afterLines="25" w:line="240" w:lineRule="auto"/>
        <w:rPr>
          <w:rFonts w:ascii="Times New Roman" w:hAnsi="Times New Roman"/>
          <w:sz w:val="24"/>
          <w:szCs w:val="24"/>
        </w:rPr>
      </w:pPr>
      <w:bookmarkStart w:id="16" w:name="_Toc326808349"/>
      <w:bookmarkStart w:id="17" w:name="_Toc326849996"/>
      <w:bookmarkStart w:id="18" w:name="_Toc327251562"/>
      <w:bookmarkStart w:id="19" w:name="_Toc326585987"/>
      <w:bookmarkStart w:id="20" w:name="_Toc585"/>
      <w:bookmarkStart w:id="21" w:name="_Toc325294276"/>
      <w:bookmarkStart w:id="22" w:name="_Toc480551515"/>
      <w:r>
        <w:rPr>
          <w:rFonts w:ascii="Times New Roman" w:hAnsi="Times New Roman"/>
          <w:sz w:val="24"/>
          <w:szCs w:val="24"/>
        </w:rPr>
        <w:t>1.2</w:t>
      </w:r>
      <w:r>
        <w:rPr>
          <w:rFonts w:hint="eastAsia" w:ascii="Times New Roman" w:hAnsi="Times New Roman"/>
          <w:sz w:val="24"/>
          <w:szCs w:val="24"/>
        </w:rPr>
        <w:t xml:space="preserve"> </w:t>
      </w:r>
      <w:r>
        <w:rPr>
          <w:rFonts w:ascii="Times New Roman" w:hAnsi="Times New Roman"/>
          <w:sz w:val="24"/>
          <w:szCs w:val="24"/>
        </w:rPr>
        <w:t>主要成果</w:t>
      </w:r>
      <w:bookmarkEnd w:id="16"/>
      <w:bookmarkEnd w:id="17"/>
      <w:bookmarkEnd w:id="18"/>
      <w:bookmarkEnd w:id="19"/>
      <w:bookmarkEnd w:id="20"/>
      <w:bookmarkEnd w:id="21"/>
      <w:bookmarkEnd w:id="22"/>
    </w:p>
    <w:p w14:paraId="472B956F">
      <w:pPr>
        <w:spacing w:line="240" w:lineRule="auto"/>
        <w:ind w:firstLine="480"/>
        <w:jc w:val="both"/>
        <w:rPr>
          <w:rFonts w:ascii="Times New Roman" w:hAnsi="Times New Roman"/>
          <w:bCs/>
          <w:color w:val="000000"/>
        </w:rPr>
      </w:pPr>
      <w:r>
        <w:rPr>
          <w:rFonts w:hint="eastAsia" w:ascii="Times New Roman" w:hAnsi="Times New Roman"/>
          <w:bCs/>
        </w:rPr>
        <w:t>2</w:t>
      </w:r>
      <w:r>
        <w:rPr>
          <w:rFonts w:ascii="Times New Roman" w:hAnsi="Times New Roman"/>
          <w:bCs/>
        </w:rPr>
        <w:t>02</w:t>
      </w:r>
      <w:r>
        <w:rPr>
          <w:rFonts w:hint="eastAsia" w:ascii="Times New Roman" w:hAnsi="Times New Roman"/>
          <w:bCs/>
        </w:rPr>
        <w:t>6年5月起</w:t>
      </w:r>
      <w:r>
        <w:rPr>
          <w:rFonts w:ascii="Times New Roman" w:hAnsi="Times New Roman"/>
          <w:bCs/>
          <w:color w:val="000000"/>
        </w:rPr>
        <w:t>，</w:t>
      </w:r>
      <w:r>
        <w:rPr>
          <w:rFonts w:hint="eastAsia"/>
          <w:bCs/>
        </w:rPr>
        <w:t>国机特种设备检验有限公司</w:t>
      </w:r>
      <w:r>
        <w:rPr>
          <w:rFonts w:hint="eastAsia"/>
          <w:bCs/>
          <w:color w:val="000000"/>
        </w:rPr>
        <w:t>对</w:t>
      </w:r>
      <w:r>
        <w:rPr>
          <w:rFonts w:hint="eastAsia"/>
          <w:bCs/>
        </w:rPr>
        <w:t>荆门石化丙烷等装置部分压力容器</w:t>
      </w:r>
      <w:r>
        <w:rPr>
          <w:rFonts w:hint="eastAsia"/>
          <w:bCs/>
          <w:color w:val="000000"/>
        </w:rPr>
        <w:t>进行基于风险的检验(RBI)工作，工作范围为压力容器67台</w:t>
      </w:r>
      <w:r>
        <w:rPr>
          <w:rFonts w:ascii="Times New Roman" w:hAnsi="Times New Roman"/>
          <w:bCs/>
          <w:color w:val="000000"/>
        </w:rPr>
        <w:t>。经过风险评估得到：</w:t>
      </w:r>
    </w:p>
    <w:p w14:paraId="05A6A723">
      <w:pPr>
        <w:spacing w:line="240" w:lineRule="auto"/>
        <w:ind w:firstLine="480"/>
        <w:jc w:val="both"/>
        <w:rPr>
          <w:rFonts w:ascii="Times New Roman" w:hAnsi="Times New Roman"/>
          <w:bCs/>
          <w:color w:val="000000"/>
        </w:rPr>
      </w:pPr>
      <w:r>
        <w:rPr>
          <w:rFonts w:ascii="Times New Roman" w:hAnsi="Times New Roman"/>
          <w:bCs/>
        </w:rPr>
        <w:t>1)</w:t>
      </w:r>
      <w:r>
        <w:rPr>
          <w:rFonts w:ascii="Times New Roman" w:hAnsi="Times New Roman"/>
          <w:bCs/>
        </w:rPr>
        <w:tab/>
      </w:r>
      <w:r>
        <w:rPr>
          <w:rFonts w:ascii="Times New Roman" w:hAnsi="Times New Roman"/>
          <w:bCs/>
          <w:color w:val="000000"/>
        </w:rPr>
        <w:t>装置腐蚀定性分析。经过专家对</w:t>
      </w:r>
      <w:r>
        <w:rPr>
          <w:rFonts w:hint="eastAsia" w:ascii="Times New Roman" w:hAnsi="Times New Roman"/>
          <w:bCs/>
          <w:color w:val="000000"/>
        </w:rPr>
        <w:t>评估范围内的压力容器/管道</w:t>
      </w:r>
      <w:r>
        <w:rPr>
          <w:rFonts w:ascii="Times New Roman" w:hAnsi="Times New Roman"/>
          <w:bCs/>
          <w:color w:val="000000"/>
        </w:rPr>
        <w:t>腐蚀的定性分析，</w:t>
      </w:r>
      <w:r>
        <w:rPr>
          <w:rFonts w:hint="eastAsia" w:ascii="Times New Roman" w:hAnsi="Times New Roman"/>
          <w:bCs/>
          <w:color w:val="000000"/>
        </w:rPr>
        <w:t>认为</w:t>
      </w:r>
      <w:bookmarkStart w:id="23" w:name="_Hlk209794221"/>
      <w:r>
        <w:rPr>
          <w:rFonts w:hint="eastAsia" w:ascii="Times New Roman" w:hAnsi="Times New Roman"/>
          <w:bCs/>
          <w:color w:val="000000"/>
        </w:rPr>
        <w:t>评估范围内的重点腐蚀区域为：（1）临界塔顶临界丙烷系统是装置硫化氢含量较高的部位，需重点关注该部位设备的湿硫化氢破坏；（2）沥青汽提塔底流经设备，该部位操作温度较高，组分重且硫化物含量较高，需重点关注该部位设备的高温硫/环烷酸腐蚀。</w:t>
      </w:r>
      <w:bookmarkEnd w:id="23"/>
      <w:r>
        <w:rPr>
          <w:rFonts w:ascii="Times New Roman" w:hAnsi="Times New Roman"/>
          <w:kern w:val="0"/>
        </w:rPr>
        <w:t>详见本报告</w:t>
      </w:r>
      <w:r>
        <w:rPr>
          <w:rFonts w:ascii="Times New Roman" w:hAnsi="Times New Roman"/>
          <w:bCs/>
          <w:color w:val="000000"/>
        </w:rPr>
        <w:t>5.3</w:t>
      </w:r>
      <w:r>
        <w:rPr>
          <w:rFonts w:ascii="Times New Roman" w:hAnsi="Times New Roman"/>
          <w:kern w:val="0"/>
        </w:rPr>
        <w:t>节</w:t>
      </w:r>
      <w:r>
        <w:rPr>
          <w:rFonts w:ascii="Times New Roman" w:hAnsi="Times New Roman"/>
          <w:bCs/>
          <w:color w:val="000000"/>
        </w:rPr>
        <w:t>。</w:t>
      </w:r>
    </w:p>
    <w:p w14:paraId="1C948BB3">
      <w:pPr>
        <w:spacing w:line="240" w:lineRule="auto"/>
        <w:ind w:firstLine="480"/>
        <w:jc w:val="both"/>
        <w:rPr>
          <w:rFonts w:ascii="Times New Roman" w:hAnsi="Times New Roman"/>
          <w:bCs/>
        </w:rPr>
      </w:pPr>
      <w:r>
        <w:rPr>
          <w:rFonts w:ascii="Times New Roman" w:hAnsi="Times New Roman"/>
          <w:bCs/>
        </w:rPr>
        <w:t>2)</w:t>
      </w:r>
      <w:r>
        <w:rPr>
          <w:rFonts w:ascii="Times New Roman" w:hAnsi="Times New Roman"/>
          <w:bCs/>
        </w:rPr>
        <w:tab/>
      </w:r>
      <w:r>
        <w:rPr>
          <w:rFonts w:ascii="Times New Roman" w:hAnsi="Times New Roman"/>
          <w:bCs/>
        </w:rPr>
        <w:t>风险分布与统计。</w:t>
      </w:r>
      <w:r>
        <w:rPr>
          <w:bCs/>
        </w:rPr>
        <w:t>通过对装置</w:t>
      </w:r>
      <w:r>
        <w:rPr>
          <w:rFonts w:hint="eastAsia"/>
          <w:bCs/>
        </w:rPr>
        <w:t>评估</w:t>
      </w:r>
      <w:r>
        <w:rPr>
          <w:bCs/>
        </w:rPr>
        <w:t>范围内的</w:t>
      </w:r>
      <w:r>
        <w:rPr>
          <w:rFonts w:hint="eastAsia"/>
          <w:bCs/>
        </w:rPr>
        <w:t>设备</w:t>
      </w:r>
      <w:r>
        <w:rPr>
          <w:bCs/>
        </w:rPr>
        <w:t>进行风险计算，得到装置</w:t>
      </w:r>
      <w:r>
        <w:rPr>
          <w:rFonts w:hint="eastAsia"/>
          <w:bCs/>
        </w:rPr>
        <w:t>所评估设备</w:t>
      </w:r>
      <w:r>
        <w:rPr>
          <w:bCs/>
        </w:rPr>
        <w:t>的风险分布情况与统计结果</w:t>
      </w:r>
      <w:r>
        <w:rPr>
          <w:rFonts w:ascii="Times New Roman" w:hAnsi="Times New Roman"/>
          <w:bCs/>
        </w:rPr>
        <w:t>：</w:t>
      </w:r>
    </w:p>
    <w:tbl>
      <w:tblPr>
        <w:tblStyle w:val="30"/>
        <w:tblW w:w="50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13"/>
        <w:gridCol w:w="760"/>
        <w:gridCol w:w="880"/>
        <w:gridCol w:w="1173"/>
        <w:gridCol w:w="984"/>
        <w:gridCol w:w="979"/>
        <w:gridCol w:w="981"/>
        <w:gridCol w:w="979"/>
        <w:gridCol w:w="983"/>
      </w:tblGrid>
      <w:tr w14:paraId="1B94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tblHeader/>
          <w:jc w:val="center"/>
        </w:trPr>
        <w:tc>
          <w:tcPr>
            <w:tcW w:w="630" w:type="pct"/>
            <w:vMerge w:val="restart"/>
            <w:noWrap w:val="0"/>
            <w:vAlign w:val="center"/>
          </w:tcPr>
          <w:p w14:paraId="2BD619BE">
            <w:pPr>
              <w:spacing w:line="240" w:lineRule="auto"/>
              <w:jc w:val="center"/>
              <w:rPr>
                <w:rFonts w:ascii="Times New Roman" w:hAnsi="Times New Roman"/>
                <w:color w:val="000000"/>
                <w:kern w:val="0"/>
              </w:rPr>
            </w:pPr>
            <w:bookmarkStart w:id="24" w:name="OLE_LINK3" w:colFirst="0" w:colLast="72"/>
            <w:bookmarkStart w:id="25" w:name="_Hlk175411061"/>
            <w:bookmarkStart w:id="26" w:name="OLE_LINK4" w:colFirst="0" w:colLast="72"/>
            <w:r>
              <w:rPr>
                <w:rFonts w:ascii="Times New Roman" w:hAnsi="Times New Roman"/>
                <w:color w:val="000000"/>
                <w:kern w:val="0"/>
              </w:rPr>
              <w:t>类型</w:t>
            </w:r>
          </w:p>
        </w:tc>
        <w:tc>
          <w:tcPr>
            <w:tcW w:w="928" w:type="pct"/>
            <w:gridSpan w:val="2"/>
            <w:noWrap w:val="0"/>
            <w:vAlign w:val="top"/>
          </w:tcPr>
          <w:p w14:paraId="6E651EA4">
            <w:pPr>
              <w:spacing w:line="240" w:lineRule="auto"/>
              <w:jc w:val="center"/>
              <w:rPr>
                <w:rFonts w:ascii="Times New Roman" w:hAnsi="Times New Roman"/>
                <w:color w:val="000000"/>
                <w:kern w:val="0"/>
              </w:rPr>
            </w:pPr>
            <w:r>
              <w:rPr>
                <w:rFonts w:ascii="Times New Roman" w:hAnsi="Times New Roman"/>
                <w:color w:val="000000"/>
                <w:kern w:val="0"/>
              </w:rPr>
              <w:t>高风险</w:t>
            </w:r>
          </w:p>
        </w:tc>
        <w:tc>
          <w:tcPr>
            <w:tcW w:w="1221" w:type="pct"/>
            <w:gridSpan w:val="2"/>
            <w:noWrap w:val="0"/>
            <w:vAlign w:val="top"/>
          </w:tcPr>
          <w:p w14:paraId="047D3EFB">
            <w:pPr>
              <w:spacing w:line="240" w:lineRule="auto"/>
              <w:jc w:val="center"/>
              <w:rPr>
                <w:rFonts w:ascii="Times New Roman" w:hAnsi="Times New Roman"/>
                <w:color w:val="000000"/>
                <w:kern w:val="0"/>
              </w:rPr>
            </w:pPr>
            <w:r>
              <w:rPr>
                <w:rFonts w:ascii="Times New Roman" w:hAnsi="Times New Roman"/>
                <w:color w:val="000000"/>
                <w:kern w:val="0"/>
              </w:rPr>
              <w:t>中高风险</w:t>
            </w:r>
          </w:p>
        </w:tc>
        <w:tc>
          <w:tcPr>
            <w:tcW w:w="1109" w:type="pct"/>
            <w:gridSpan w:val="2"/>
            <w:noWrap/>
            <w:vAlign w:val="center"/>
          </w:tcPr>
          <w:p w14:paraId="4EB3B7C2">
            <w:pPr>
              <w:spacing w:line="240" w:lineRule="auto"/>
              <w:jc w:val="center"/>
              <w:rPr>
                <w:rFonts w:ascii="Times New Roman" w:hAnsi="Times New Roman"/>
                <w:color w:val="000000"/>
                <w:kern w:val="0"/>
              </w:rPr>
            </w:pPr>
            <w:r>
              <w:rPr>
                <w:rFonts w:ascii="Times New Roman" w:hAnsi="Times New Roman"/>
                <w:color w:val="000000"/>
                <w:kern w:val="0"/>
              </w:rPr>
              <w:t>中风险</w:t>
            </w:r>
          </w:p>
        </w:tc>
        <w:tc>
          <w:tcPr>
            <w:tcW w:w="1110" w:type="pct"/>
            <w:gridSpan w:val="2"/>
            <w:noWrap w:val="0"/>
            <w:vAlign w:val="top"/>
          </w:tcPr>
          <w:p w14:paraId="29B351D9">
            <w:pPr>
              <w:spacing w:line="240" w:lineRule="auto"/>
              <w:jc w:val="center"/>
              <w:rPr>
                <w:rFonts w:ascii="Times New Roman" w:hAnsi="Times New Roman"/>
                <w:color w:val="000000"/>
                <w:kern w:val="0"/>
              </w:rPr>
            </w:pPr>
            <w:r>
              <w:rPr>
                <w:rFonts w:ascii="Times New Roman" w:hAnsi="Times New Roman"/>
                <w:color w:val="000000"/>
                <w:kern w:val="0"/>
              </w:rPr>
              <w:t>低风险</w:t>
            </w:r>
          </w:p>
        </w:tc>
      </w:tr>
      <w:tr w14:paraId="27C5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630" w:type="pct"/>
            <w:vMerge w:val="continue"/>
            <w:noWrap w:val="0"/>
            <w:vAlign w:val="top"/>
          </w:tcPr>
          <w:p w14:paraId="2D91A8E9">
            <w:pPr>
              <w:spacing w:line="240" w:lineRule="auto"/>
              <w:jc w:val="center"/>
              <w:rPr>
                <w:rFonts w:ascii="Times New Roman" w:hAnsi="Times New Roman"/>
                <w:color w:val="000000"/>
                <w:kern w:val="0"/>
              </w:rPr>
            </w:pPr>
          </w:p>
        </w:tc>
        <w:tc>
          <w:tcPr>
            <w:tcW w:w="430" w:type="pct"/>
            <w:noWrap w:val="0"/>
            <w:vAlign w:val="top"/>
          </w:tcPr>
          <w:p w14:paraId="06DFB826">
            <w:pPr>
              <w:spacing w:line="240" w:lineRule="auto"/>
              <w:jc w:val="center"/>
              <w:rPr>
                <w:rFonts w:ascii="Times New Roman" w:hAnsi="Times New Roman"/>
                <w:color w:val="000000"/>
                <w:kern w:val="0"/>
              </w:rPr>
            </w:pPr>
            <w:r>
              <w:rPr>
                <w:rFonts w:ascii="Times New Roman" w:hAnsi="Times New Roman"/>
                <w:color w:val="000000"/>
                <w:kern w:val="0"/>
              </w:rPr>
              <w:t>数量</w:t>
            </w:r>
          </w:p>
        </w:tc>
        <w:tc>
          <w:tcPr>
            <w:tcW w:w="498" w:type="pct"/>
            <w:noWrap w:val="0"/>
            <w:vAlign w:val="top"/>
          </w:tcPr>
          <w:p w14:paraId="75A68058">
            <w:pPr>
              <w:spacing w:line="240" w:lineRule="auto"/>
              <w:jc w:val="center"/>
              <w:rPr>
                <w:rFonts w:ascii="Times New Roman" w:hAnsi="Times New Roman"/>
                <w:color w:val="000000"/>
                <w:kern w:val="0"/>
              </w:rPr>
            </w:pPr>
            <w:r>
              <w:rPr>
                <w:rFonts w:ascii="Times New Roman" w:hAnsi="Times New Roman"/>
                <w:color w:val="000000"/>
                <w:kern w:val="0"/>
              </w:rPr>
              <w:t>比例</w:t>
            </w:r>
          </w:p>
        </w:tc>
        <w:tc>
          <w:tcPr>
            <w:tcW w:w="664" w:type="pct"/>
            <w:noWrap w:val="0"/>
            <w:vAlign w:val="top"/>
          </w:tcPr>
          <w:p w14:paraId="7F1B2F67">
            <w:pPr>
              <w:spacing w:line="240" w:lineRule="auto"/>
              <w:jc w:val="center"/>
              <w:rPr>
                <w:rFonts w:ascii="Times New Roman" w:hAnsi="Times New Roman"/>
                <w:color w:val="000000"/>
                <w:kern w:val="0"/>
              </w:rPr>
            </w:pPr>
            <w:r>
              <w:rPr>
                <w:rFonts w:ascii="Times New Roman" w:hAnsi="Times New Roman"/>
                <w:color w:val="000000"/>
                <w:kern w:val="0"/>
              </w:rPr>
              <w:t>数量</w:t>
            </w:r>
          </w:p>
        </w:tc>
        <w:tc>
          <w:tcPr>
            <w:tcW w:w="557" w:type="pct"/>
            <w:noWrap/>
            <w:vAlign w:val="center"/>
          </w:tcPr>
          <w:p w14:paraId="327B71D5">
            <w:pPr>
              <w:spacing w:line="240" w:lineRule="auto"/>
              <w:jc w:val="center"/>
              <w:rPr>
                <w:rFonts w:ascii="Times New Roman" w:hAnsi="Times New Roman"/>
                <w:color w:val="000000"/>
                <w:kern w:val="0"/>
              </w:rPr>
            </w:pPr>
            <w:r>
              <w:rPr>
                <w:rFonts w:ascii="Times New Roman" w:hAnsi="Times New Roman"/>
                <w:color w:val="000000"/>
                <w:kern w:val="0"/>
              </w:rPr>
              <w:t>比例</w:t>
            </w:r>
          </w:p>
        </w:tc>
        <w:tc>
          <w:tcPr>
            <w:tcW w:w="554" w:type="pct"/>
            <w:noWrap/>
            <w:vAlign w:val="center"/>
          </w:tcPr>
          <w:p w14:paraId="6BD0E521">
            <w:pPr>
              <w:widowControl w:val="0"/>
              <w:spacing w:line="240" w:lineRule="auto"/>
              <w:jc w:val="center"/>
              <w:rPr>
                <w:rFonts w:ascii="Times New Roman" w:hAnsi="Times New Roman"/>
                <w:color w:val="000000"/>
                <w:kern w:val="0"/>
              </w:rPr>
            </w:pPr>
            <w:r>
              <w:rPr>
                <w:rFonts w:ascii="Times New Roman" w:hAnsi="Times New Roman"/>
                <w:color w:val="000000"/>
                <w:kern w:val="0"/>
              </w:rPr>
              <w:t>数量</w:t>
            </w:r>
          </w:p>
        </w:tc>
        <w:tc>
          <w:tcPr>
            <w:tcW w:w="554" w:type="pct"/>
            <w:noWrap/>
            <w:vAlign w:val="center"/>
          </w:tcPr>
          <w:p w14:paraId="1DA8283F">
            <w:pPr>
              <w:widowControl w:val="0"/>
              <w:spacing w:line="240" w:lineRule="auto"/>
              <w:jc w:val="center"/>
              <w:rPr>
                <w:rFonts w:ascii="Times New Roman" w:hAnsi="Times New Roman"/>
                <w:color w:val="000000"/>
                <w:kern w:val="0"/>
              </w:rPr>
            </w:pPr>
            <w:r>
              <w:rPr>
                <w:rFonts w:ascii="Times New Roman" w:hAnsi="Times New Roman"/>
                <w:color w:val="000000"/>
                <w:kern w:val="0"/>
              </w:rPr>
              <w:t>比例</w:t>
            </w:r>
          </w:p>
        </w:tc>
        <w:tc>
          <w:tcPr>
            <w:tcW w:w="554" w:type="pct"/>
            <w:noWrap w:val="0"/>
            <w:vAlign w:val="top"/>
          </w:tcPr>
          <w:p w14:paraId="25638EA3">
            <w:pPr>
              <w:widowControl w:val="0"/>
              <w:spacing w:line="240" w:lineRule="auto"/>
              <w:jc w:val="center"/>
              <w:rPr>
                <w:rFonts w:ascii="Times New Roman" w:hAnsi="Times New Roman"/>
                <w:color w:val="000000"/>
                <w:kern w:val="0"/>
              </w:rPr>
            </w:pPr>
            <w:r>
              <w:rPr>
                <w:rFonts w:ascii="Times New Roman" w:hAnsi="Times New Roman"/>
                <w:color w:val="000000"/>
                <w:kern w:val="0"/>
              </w:rPr>
              <w:t>数量</w:t>
            </w:r>
          </w:p>
        </w:tc>
        <w:tc>
          <w:tcPr>
            <w:tcW w:w="555" w:type="pct"/>
            <w:noWrap w:val="0"/>
            <w:vAlign w:val="top"/>
          </w:tcPr>
          <w:p w14:paraId="7F76F41D">
            <w:pPr>
              <w:widowControl w:val="0"/>
              <w:spacing w:line="240" w:lineRule="auto"/>
              <w:jc w:val="center"/>
              <w:rPr>
                <w:rFonts w:ascii="Times New Roman" w:hAnsi="Times New Roman"/>
                <w:color w:val="000000"/>
                <w:kern w:val="0"/>
              </w:rPr>
            </w:pPr>
            <w:r>
              <w:rPr>
                <w:rFonts w:ascii="Times New Roman" w:hAnsi="Times New Roman"/>
                <w:color w:val="000000"/>
                <w:kern w:val="0"/>
              </w:rPr>
              <w:t>比例</w:t>
            </w:r>
          </w:p>
        </w:tc>
      </w:tr>
      <w:tr w14:paraId="492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630" w:type="pct"/>
            <w:noWrap w:val="0"/>
            <w:vAlign w:val="top"/>
          </w:tcPr>
          <w:p w14:paraId="2CA504D3">
            <w:pPr>
              <w:spacing w:line="240" w:lineRule="auto"/>
              <w:jc w:val="center"/>
              <w:rPr>
                <w:rFonts w:ascii="Times New Roman" w:hAnsi="Times New Roman"/>
                <w:bCs/>
              </w:rPr>
            </w:pPr>
            <w:bookmarkStart w:id="27" w:name="_Hlk532799614"/>
            <w:r>
              <w:rPr>
                <w:rFonts w:hint="eastAsia" w:ascii="Times New Roman" w:hAnsi="Times New Roman"/>
                <w:bCs/>
              </w:rPr>
              <w:t>容器</w:t>
            </w:r>
            <w:r>
              <w:rPr>
                <w:rFonts w:ascii="Times New Roman" w:hAnsi="Times New Roman"/>
                <w:bCs/>
              </w:rPr>
              <w:t>（台）</w:t>
            </w:r>
          </w:p>
        </w:tc>
        <w:tc>
          <w:tcPr>
            <w:tcW w:w="430" w:type="pct"/>
            <w:noWrap w:val="0"/>
            <w:vAlign w:val="center"/>
          </w:tcPr>
          <w:p w14:paraId="3B485C01">
            <w:pPr>
              <w:spacing w:line="240" w:lineRule="auto"/>
              <w:jc w:val="center"/>
              <w:rPr>
                <w:rFonts w:ascii="Times New Roman" w:hAnsi="Times New Roman"/>
                <w:color w:val="000000"/>
                <w:kern w:val="0"/>
              </w:rPr>
            </w:pPr>
            <w:r>
              <w:rPr>
                <w:rFonts w:hint="eastAsia" w:ascii="Times New Roman" w:hAnsi="Times New Roman"/>
                <w:color w:val="000000"/>
                <w:kern w:val="0"/>
              </w:rPr>
              <w:t>0</w:t>
            </w:r>
          </w:p>
        </w:tc>
        <w:tc>
          <w:tcPr>
            <w:tcW w:w="498" w:type="pct"/>
            <w:noWrap w:val="0"/>
            <w:vAlign w:val="center"/>
          </w:tcPr>
          <w:p w14:paraId="377F60D6">
            <w:pPr>
              <w:spacing w:line="240" w:lineRule="auto"/>
              <w:jc w:val="center"/>
              <w:rPr>
                <w:rFonts w:hint="eastAsia" w:ascii="Times New Roman" w:hAnsi="Times New Roman"/>
                <w:color w:val="000000"/>
                <w:kern w:val="0"/>
              </w:rPr>
            </w:pPr>
            <w:r>
              <w:rPr>
                <w:rFonts w:hint="eastAsia" w:ascii="Times New Roman" w:hAnsi="Times New Roman"/>
                <w:color w:val="000000"/>
                <w:kern w:val="0"/>
              </w:rPr>
              <w:t>0</w:t>
            </w:r>
          </w:p>
        </w:tc>
        <w:tc>
          <w:tcPr>
            <w:tcW w:w="664" w:type="pct"/>
            <w:noWrap w:val="0"/>
            <w:vAlign w:val="center"/>
          </w:tcPr>
          <w:p w14:paraId="11D99489">
            <w:pPr>
              <w:spacing w:line="240" w:lineRule="auto"/>
              <w:jc w:val="center"/>
              <w:rPr>
                <w:rFonts w:hint="default" w:ascii="Times New Roman" w:hAnsi="Times New Roman" w:eastAsia="宋体"/>
                <w:color w:val="000000"/>
                <w:kern w:val="0"/>
                <w:lang w:val="en-US" w:eastAsia="zh-CN"/>
              </w:rPr>
            </w:pPr>
            <w:r>
              <w:rPr>
                <w:rFonts w:hint="eastAsia" w:ascii="Times New Roman" w:hAnsi="Times New Roman"/>
                <w:color w:val="000000"/>
                <w:kern w:val="0"/>
                <w:lang w:val="en-US" w:eastAsia="zh-CN"/>
              </w:rPr>
              <w:t>11</w:t>
            </w:r>
          </w:p>
        </w:tc>
        <w:tc>
          <w:tcPr>
            <w:tcW w:w="557" w:type="pct"/>
            <w:noWrap/>
            <w:vAlign w:val="center"/>
          </w:tcPr>
          <w:p w14:paraId="5B06DE7C">
            <w:pPr>
              <w:spacing w:line="240" w:lineRule="auto"/>
              <w:jc w:val="center"/>
              <w:rPr>
                <w:rFonts w:ascii="Times New Roman" w:hAnsi="Times New Roman"/>
                <w:color w:val="000000"/>
                <w:kern w:val="0"/>
              </w:rPr>
            </w:pPr>
            <w:r>
              <w:rPr>
                <w:rFonts w:hint="eastAsia" w:ascii="Times New Roman" w:hAnsi="Times New Roman"/>
                <w:color w:val="000000"/>
                <w:kern w:val="0"/>
                <w:lang w:val="en-US" w:eastAsia="zh-CN"/>
              </w:rPr>
              <w:t>16.42</w:t>
            </w:r>
            <w:r>
              <w:rPr>
                <w:rFonts w:hint="eastAsia" w:ascii="Times New Roman" w:hAnsi="Times New Roman"/>
                <w:color w:val="000000"/>
                <w:kern w:val="0"/>
              </w:rPr>
              <w:t>%</w:t>
            </w:r>
          </w:p>
        </w:tc>
        <w:tc>
          <w:tcPr>
            <w:tcW w:w="554" w:type="pct"/>
            <w:noWrap/>
            <w:vAlign w:val="center"/>
          </w:tcPr>
          <w:p w14:paraId="20E8961F">
            <w:pPr>
              <w:widowControl w:val="0"/>
              <w:spacing w:line="240" w:lineRule="auto"/>
              <w:jc w:val="center"/>
              <w:rPr>
                <w:rFonts w:hint="default" w:ascii="Times New Roman" w:hAnsi="Times New Roman" w:eastAsia="宋体"/>
                <w:color w:val="000000"/>
                <w:kern w:val="0"/>
                <w:lang w:val="en-US" w:eastAsia="zh-CN"/>
              </w:rPr>
            </w:pPr>
            <w:r>
              <w:rPr>
                <w:rFonts w:hint="eastAsia" w:ascii="Times New Roman" w:hAnsi="Times New Roman"/>
                <w:color w:val="000000"/>
                <w:kern w:val="0"/>
                <w:lang w:val="en-US" w:eastAsia="zh-CN"/>
              </w:rPr>
              <w:t>39</w:t>
            </w:r>
          </w:p>
        </w:tc>
        <w:tc>
          <w:tcPr>
            <w:tcW w:w="554" w:type="pct"/>
            <w:noWrap/>
            <w:vAlign w:val="center"/>
          </w:tcPr>
          <w:p w14:paraId="78F751CC">
            <w:pPr>
              <w:widowControl w:val="0"/>
              <w:spacing w:line="240" w:lineRule="auto"/>
              <w:jc w:val="center"/>
              <w:rPr>
                <w:rFonts w:ascii="Times New Roman" w:hAnsi="Times New Roman"/>
                <w:color w:val="000000"/>
                <w:kern w:val="0"/>
              </w:rPr>
            </w:pPr>
            <w:r>
              <w:rPr>
                <w:rFonts w:hint="eastAsia" w:ascii="Times New Roman" w:hAnsi="Times New Roman"/>
                <w:color w:val="000000"/>
                <w:kern w:val="0"/>
                <w:lang w:val="en-US" w:eastAsia="zh-CN"/>
              </w:rPr>
              <w:t>58.21</w:t>
            </w:r>
            <w:r>
              <w:rPr>
                <w:rFonts w:hint="eastAsia" w:ascii="Times New Roman" w:hAnsi="Times New Roman"/>
                <w:color w:val="000000"/>
                <w:kern w:val="0"/>
              </w:rPr>
              <w:t>%</w:t>
            </w:r>
          </w:p>
        </w:tc>
        <w:tc>
          <w:tcPr>
            <w:tcW w:w="554" w:type="pct"/>
            <w:noWrap w:val="0"/>
            <w:vAlign w:val="center"/>
          </w:tcPr>
          <w:p w14:paraId="1F16251C">
            <w:pPr>
              <w:widowControl w:val="0"/>
              <w:spacing w:line="240" w:lineRule="auto"/>
              <w:jc w:val="center"/>
              <w:rPr>
                <w:rFonts w:hint="default" w:ascii="Times New Roman" w:hAnsi="Times New Roman" w:eastAsia="宋体"/>
                <w:color w:val="000000"/>
                <w:kern w:val="0"/>
                <w:lang w:val="en-US" w:eastAsia="zh-CN"/>
              </w:rPr>
            </w:pPr>
            <w:r>
              <w:rPr>
                <w:rFonts w:hint="eastAsia" w:ascii="Times New Roman" w:hAnsi="Times New Roman"/>
                <w:color w:val="000000"/>
                <w:kern w:val="0"/>
                <w:lang w:val="en-US" w:eastAsia="zh-CN"/>
              </w:rPr>
              <w:t>17</w:t>
            </w:r>
          </w:p>
        </w:tc>
        <w:tc>
          <w:tcPr>
            <w:tcW w:w="555" w:type="pct"/>
            <w:noWrap w:val="0"/>
            <w:vAlign w:val="center"/>
          </w:tcPr>
          <w:p w14:paraId="45388F4D">
            <w:pPr>
              <w:widowControl w:val="0"/>
              <w:spacing w:line="240" w:lineRule="auto"/>
              <w:jc w:val="center"/>
              <w:rPr>
                <w:rFonts w:ascii="Times New Roman" w:hAnsi="Times New Roman"/>
                <w:color w:val="000000"/>
                <w:kern w:val="0"/>
              </w:rPr>
            </w:pPr>
            <w:r>
              <w:rPr>
                <w:rFonts w:hint="eastAsia" w:ascii="Times New Roman" w:hAnsi="Times New Roman"/>
                <w:color w:val="000000"/>
                <w:kern w:val="0"/>
              </w:rPr>
              <w:t>2</w:t>
            </w:r>
            <w:r>
              <w:rPr>
                <w:rFonts w:hint="eastAsia" w:ascii="Times New Roman" w:hAnsi="Times New Roman"/>
                <w:color w:val="000000"/>
                <w:kern w:val="0"/>
                <w:lang w:val="en-US" w:eastAsia="zh-CN"/>
              </w:rPr>
              <w:t>5.37</w:t>
            </w:r>
            <w:r>
              <w:rPr>
                <w:rFonts w:hint="eastAsia" w:ascii="Times New Roman" w:hAnsi="Times New Roman"/>
                <w:color w:val="000000"/>
                <w:kern w:val="0"/>
              </w:rPr>
              <w:t>%</w:t>
            </w:r>
          </w:p>
        </w:tc>
      </w:tr>
      <w:bookmarkEnd w:id="24"/>
      <w:bookmarkEnd w:id="25"/>
      <w:bookmarkEnd w:id="26"/>
      <w:bookmarkEnd w:id="27"/>
    </w:tbl>
    <w:p w14:paraId="3B3E9184">
      <w:pPr>
        <w:spacing w:line="240" w:lineRule="auto"/>
        <w:ind w:firstLine="480" w:firstLineChars="200"/>
        <w:jc w:val="both"/>
        <w:rPr>
          <w:bCs/>
        </w:rPr>
      </w:pPr>
      <w:r>
        <w:rPr>
          <w:bCs/>
        </w:rPr>
        <w:t>3</w:t>
      </w:r>
      <w:r>
        <w:rPr>
          <w:rFonts w:hint="eastAsia"/>
          <w:bCs/>
        </w:rPr>
        <w:t>)</w:t>
      </w:r>
      <w:r>
        <w:rPr>
          <w:bCs/>
        </w:rPr>
        <w:t xml:space="preserve"> </w:t>
      </w:r>
      <w:r>
        <w:rPr>
          <w:rFonts w:hint="eastAsia"/>
          <w:bCs/>
        </w:rPr>
        <w:t>基于风险的检验时间。</w:t>
      </w:r>
      <w:r>
        <w:rPr>
          <w:rFonts w:hint="eastAsia"/>
          <w:bCs/>
          <w:color w:val="000000"/>
        </w:rPr>
        <w:t>风险评估期限。本次评估起始时间为设备与管道最近一次定期检验时间，对于未首检的设备与管道，其评估起始时间为投用时间，报告中设备与管道的风险为基于2026年12月的风险计算结果</w:t>
      </w:r>
      <w:r>
        <w:rPr>
          <w:rFonts w:hint="eastAsia"/>
          <w:bCs/>
        </w:rPr>
        <w:t>。</w:t>
      </w:r>
    </w:p>
    <w:p w14:paraId="334B6E43">
      <w:pPr>
        <w:spacing w:line="240" w:lineRule="auto"/>
        <w:ind w:firstLine="480"/>
        <w:jc w:val="both"/>
        <w:rPr>
          <w:rFonts w:hint="eastAsia"/>
          <w:bCs/>
        </w:rPr>
      </w:pPr>
      <w:r>
        <w:rPr>
          <w:bCs/>
        </w:rPr>
        <w:t xml:space="preserve">4) </w:t>
      </w:r>
      <w:r>
        <w:rPr>
          <w:rFonts w:hint="eastAsia"/>
          <w:bCs/>
        </w:rPr>
        <w:t>基于风险的检验策略。根据设备的风险状况及损伤机理分布状况，制定有针对性的检验策略，包括重点检测部位、检测方法与检测比例，为检验机构制定检验方案提供参考，详见附录2。</w:t>
      </w:r>
    </w:p>
    <w:p w14:paraId="2DB83570">
      <w:pPr>
        <w:spacing w:line="240" w:lineRule="auto"/>
        <w:ind w:firstLine="480"/>
        <w:jc w:val="both"/>
        <w:rPr>
          <w:rFonts w:hint="eastAsia"/>
          <w:bCs/>
        </w:rPr>
      </w:pPr>
      <w:r>
        <w:rPr>
          <w:rFonts w:hint="eastAsia"/>
          <w:bCs/>
        </w:rPr>
        <w:t>5</w:t>
      </w:r>
      <w:r>
        <w:rPr>
          <w:bCs/>
        </w:rPr>
        <w:t xml:space="preserve">) </w:t>
      </w:r>
      <w:r>
        <w:rPr>
          <w:rFonts w:hint="eastAsia"/>
          <w:bCs/>
        </w:rPr>
        <w:t>降险措施。根据评估结果，本次评估范围内的设备，其降险措施详见本报告7.</w:t>
      </w:r>
      <w:r>
        <w:rPr>
          <w:rFonts w:hint="eastAsia"/>
          <w:bCs/>
          <w:lang w:val="en-US" w:eastAsia="zh-CN"/>
        </w:rPr>
        <w:t>3</w:t>
      </w:r>
      <w:r>
        <w:rPr>
          <w:rFonts w:hint="eastAsia"/>
          <w:bCs/>
        </w:rPr>
        <w:t>节。</w:t>
      </w:r>
    </w:p>
    <w:p w14:paraId="2552F7AF">
      <w:pPr>
        <w:spacing w:line="240" w:lineRule="auto"/>
        <w:ind w:firstLine="480"/>
        <w:jc w:val="both"/>
        <w:rPr>
          <w:bCs/>
        </w:rPr>
      </w:pPr>
      <w:r>
        <w:rPr>
          <w:rFonts w:hint="eastAsia"/>
          <w:bCs/>
        </w:rPr>
        <w:t>6</w:t>
      </w:r>
      <w:r>
        <w:rPr>
          <w:bCs/>
        </w:rPr>
        <w:t xml:space="preserve">) </w:t>
      </w:r>
      <w:r>
        <w:rPr>
          <w:rFonts w:hint="eastAsia"/>
          <w:bCs/>
        </w:rPr>
        <w:t>下次检验时间。根据风险分析结果，本次所评67台压力容器的下次检验时间为2026年12月31日之前，</w:t>
      </w:r>
      <w:r>
        <w:rPr>
          <w:bCs/>
        </w:rPr>
        <w:t>详见附录</w:t>
      </w:r>
      <w:r>
        <w:rPr>
          <w:rFonts w:hint="eastAsia"/>
          <w:bCs/>
        </w:rPr>
        <w:t>2。</w:t>
      </w:r>
    </w:p>
    <w:p w14:paraId="3D795DD5">
      <w:pPr>
        <w:spacing w:line="240" w:lineRule="auto"/>
        <w:ind w:firstLine="480" w:firstLineChars="200"/>
        <w:jc w:val="both"/>
        <w:rPr>
          <w:rFonts w:ascii="Times New Roman" w:hAnsi="Times New Roman"/>
          <w:bCs/>
        </w:rPr>
      </w:pPr>
      <w:r>
        <w:rPr>
          <w:rFonts w:hint="eastAsia" w:ascii="Times New Roman" w:hAnsi="Times New Roman"/>
          <w:bCs/>
        </w:rPr>
        <w:t>其他</w:t>
      </w:r>
      <w:r>
        <w:rPr>
          <w:rFonts w:ascii="Times New Roman" w:hAnsi="Times New Roman"/>
          <w:bCs/>
        </w:rPr>
        <w:t>通过风险评估得到的结论，将在正文中逐一阐述。</w:t>
      </w:r>
    </w:p>
    <w:p w14:paraId="1AEDCF66">
      <w:pPr>
        <w:pStyle w:val="2"/>
        <w:numPr>
          <w:ilvl w:val="0"/>
          <w:numId w:val="3"/>
        </w:numPr>
        <w:spacing w:before="230" w:after="230" w:line="240" w:lineRule="auto"/>
      </w:pPr>
      <w:bookmarkStart w:id="28" w:name="_Toc479954841"/>
      <w:bookmarkStart w:id="29" w:name="_Toc450725836"/>
      <w:bookmarkStart w:id="30" w:name="_Toc7343"/>
      <w:bookmarkStart w:id="31" w:name="_Toc479954125"/>
      <w:bookmarkStart w:id="32" w:name="_Toc480551516"/>
      <w:r>
        <w:t>RBI技术概述</w:t>
      </w:r>
      <w:bookmarkEnd w:id="28"/>
      <w:bookmarkEnd w:id="29"/>
      <w:bookmarkEnd w:id="30"/>
      <w:bookmarkEnd w:id="31"/>
      <w:bookmarkEnd w:id="32"/>
    </w:p>
    <w:p w14:paraId="5244F060">
      <w:pPr>
        <w:spacing w:line="240" w:lineRule="auto"/>
        <w:ind w:firstLine="480" w:firstLineChars="200"/>
        <w:jc w:val="both"/>
        <w:rPr>
          <w:rFonts w:ascii="Times New Roman" w:hAnsi="Times New Roman"/>
          <w:bCs/>
          <w:color w:val="000000"/>
        </w:rPr>
      </w:pPr>
      <w:r>
        <w:rPr>
          <w:rFonts w:hint="eastAsia" w:ascii="Times New Roman" w:hAnsi="Times New Roman"/>
          <w:bCs/>
          <w:color w:val="000000"/>
        </w:rPr>
        <w:t>基于风险的检验（</w:t>
      </w:r>
      <w:r>
        <w:rPr>
          <w:rFonts w:ascii="Times New Roman" w:hAnsi="Times New Roman"/>
          <w:bCs/>
          <w:color w:val="000000"/>
        </w:rPr>
        <w:t>RBI</w:t>
      </w:r>
      <w:r>
        <w:rPr>
          <w:rFonts w:hint="eastAsia" w:ascii="Times New Roman" w:hAnsi="Times New Roman"/>
          <w:bCs/>
          <w:color w:val="000000"/>
        </w:rPr>
        <w:t>）</w:t>
      </w:r>
      <w:r>
        <w:rPr>
          <w:rFonts w:ascii="Times New Roman" w:hAnsi="Times New Roman"/>
          <w:bCs/>
          <w:color w:val="000000"/>
        </w:rPr>
        <w:t>是一种追求系统安全性与经济性统一的理念与方法，它是在对系统中固有的或潜在的危险发生的可能性与后果进行科学分析的基础上，给出风险排序，找出薄弱环节，以确保本质安全和减少运行费用为目标，优化检验策略的一种管理方式。</w:t>
      </w:r>
    </w:p>
    <w:p w14:paraId="33525C3B">
      <w:pPr>
        <w:tabs>
          <w:tab w:val="left" w:pos="0"/>
          <w:tab w:val="left" w:pos="1440"/>
        </w:tabs>
        <w:adjustRightInd w:val="0"/>
        <w:spacing w:line="240" w:lineRule="auto"/>
        <w:ind w:firstLine="480" w:firstLineChars="200"/>
        <w:jc w:val="both"/>
        <w:rPr>
          <w:rFonts w:ascii="Times New Roman" w:hAnsi="Times New Roman"/>
          <w:bCs/>
          <w:color w:val="000000"/>
          <w:szCs w:val="20"/>
          <w:lang w:val="zh-CN"/>
        </w:rPr>
      </w:pPr>
      <w:r>
        <w:rPr>
          <w:rFonts w:ascii="Times New Roman" w:hAnsi="Times New Roman"/>
          <w:bCs/>
          <w:color w:val="000000"/>
        </w:rPr>
        <w:t>上个世纪九十年代初期，欧美二十余家石化企业集团为了在安全的前提下降低运行成本，共同发起资助美国石油学会</w:t>
      </w:r>
      <w:r>
        <w:rPr>
          <w:rFonts w:hint="eastAsia" w:ascii="Times New Roman" w:hAnsi="Times New Roman"/>
          <w:bCs/>
          <w:color w:val="000000"/>
        </w:rPr>
        <w:t>（</w:t>
      </w:r>
      <w:r>
        <w:rPr>
          <w:rFonts w:ascii="Times New Roman" w:hAnsi="Times New Roman"/>
          <w:bCs/>
          <w:color w:val="000000"/>
        </w:rPr>
        <w:t>API</w:t>
      </w:r>
      <w:r>
        <w:rPr>
          <w:rFonts w:hint="eastAsia" w:ascii="Times New Roman" w:hAnsi="Times New Roman"/>
          <w:bCs/>
          <w:color w:val="000000"/>
        </w:rPr>
        <w:t>）</w:t>
      </w:r>
      <w:r>
        <w:rPr>
          <w:rFonts w:ascii="Times New Roman" w:hAnsi="Times New Roman"/>
          <w:bCs/>
          <w:color w:val="000000"/>
        </w:rPr>
        <w:t>开展RBI在石化企业</w:t>
      </w:r>
      <w:r>
        <w:rPr>
          <w:rFonts w:hint="eastAsia" w:ascii="Times New Roman" w:hAnsi="Times New Roman"/>
          <w:bCs/>
          <w:color w:val="000000"/>
        </w:rPr>
        <w:t>（</w:t>
      </w:r>
      <w:r>
        <w:rPr>
          <w:rFonts w:ascii="Times New Roman" w:hAnsi="Times New Roman"/>
          <w:bCs/>
          <w:color w:val="000000"/>
        </w:rPr>
        <w:t>主要是炼油厂</w:t>
      </w:r>
      <w:r>
        <w:rPr>
          <w:rFonts w:hint="eastAsia" w:ascii="Times New Roman" w:hAnsi="Times New Roman"/>
          <w:bCs/>
          <w:color w:val="000000"/>
        </w:rPr>
        <w:t>）</w:t>
      </w:r>
      <w:r>
        <w:rPr>
          <w:rFonts w:ascii="Times New Roman" w:hAnsi="Times New Roman"/>
          <w:bCs/>
          <w:color w:val="000000"/>
        </w:rPr>
        <w:t>的应用研究工作。</w:t>
      </w:r>
      <w:r>
        <w:rPr>
          <w:rFonts w:ascii="Times New Roman" w:hAnsi="Times New Roman"/>
          <w:bCs/>
          <w:color w:val="000000"/>
          <w:lang w:val="fr-FR"/>
        </w:rPr>
        <w:t>1996</w:t>
      </w:r>
      <w:r>
        <w:rPr>
          <w:rFonts w:ascii="Times New Roman" w:hAnsi="Times New Roman"/>
          <w:bCs/>
          <w:color w:val="000000"/>
        </w:rPr>
        <w:t>年</w:t>
      </w:r>
      <w:r>
        <w:rPr>
          <w:rFonts w:ascii="Times New Roman" w:hAnsi="Times New Roman"/>
          <w:bCs/>
          <w:color w:val="000000"/>
          <w:lang w:val="fr-FR"/>
        </w:rPr>
        <w:t>API</w:t>
      </w:r>
      <w:r>
        <w:rPr>
          <w:rFonts w:ascii="Times New Roman" w:hAnsi="Times New Roman"/>
          <w:bCs/>
          <w:color w:val="000000"/>
        </w:rPr>
        <w:t>公布了RBI基础资源文件</w:t>
      </w:r>
      <w:r>
        <w:rPr>
          <w:rFonts w:ascii="Times New Roman" w:hAnsi="Times New Roman"/>
          <w:bCs/>
          <w:color w:val="000000"/>
          <w:lang w:val="fr-FR"/>
        </w:rPr>
        <w:t>API BRD 581</w:t>
      </w:r>
      <w:r>
        <w:rPr>
          <w:rFonts w:ascii="Times New Roman" w:hAnsi="Times New Roman"/>
          <w:bCs/>
          <w:color w:val="000000"/>
        </w:rPr>
        <w:t>的草案，</w:t>
      </w:r>
      <w:r>
        <w:rPr>
          <w:rFonts w:ascii="Times New Roman" w:hAnsi="Times New Roman"/>
          <w:bCs/>
          <w:color w:val="000000"/>
          <w:lang w:val="fr-FR"/>
        </w:rPr>
        <w:t>2000</w:t>
      </w:r>
      <w:r>
        <w:rPr>
          <w:rFonts w:ascii="Times New Roman" w:hAnsi="Times New Roman"/>
          <w:bCs/>
          <w:color w:val="000000"/>
        </w:rPr>
        <w:t>年</w:t>
      </w:r>
      <w:r>
        <w:rPr>
          <w:rFonts w:ascii="Times New Roman" w:hAnsi="Times New Roman"/>
          <w:bCs/>
          <w:color w:val="000000"/>
          <w:lang w:val="fr-FR"/>
        </w:rPr>
        <w:t>5</w:t>
      </w:r>
      <w:r>
        <w:rPr>
          <w:rFonts w:ascii="Times New Roman" w:hAnsi="Times New Roman"/>
          <w:bCs/>
          <w:color w:val="000000"/>
        </w:rPr>
        <w:t>月又公布</w:t>
      </w:r>
      <w:r>
        <w:rPr>
          <w:rFonts w:ascii="Times New Roman" w:hAnsi="Times New Roman"/>
          <w:bCs/>
          <w:color w:val="000000"/>
          <w:lang w:val="fr-FR"/>
        </w:rPr>
        <w:t>API 581</w:t>
      </w:r>
      <w:r>
        <w:rPr>
          <w:rFonts w:ascii="Times New Roman" w:hAnsi="Times New Roman"/>
          <w:bCs/>
          <w:color w:val="000000"/>
        </w:rPr>
        <w:t>正式文件。</w:t>
      </w:r>
      <w:r>
        <w:rPr>
          <w:rFonts w:ascii="Times New Roman" w:hAnsi="Times New Roman"/>
          <w:bCs/>
          <w:color w:val="000000"/>
          <w:lang w:val="fr-FR"/>
        </w:rPr>
        <w:t>2002</w:t>
      </w:r>
      <w:r>
        <w:rPr>
          <w:rFonts w:ascii="Times New Roman" w:hAnsi="Times New Roman"/>
          <w:bCs/>
          <w:color w:val="000000"/>
        </w:rPr>
        <w:t>年</w:t>
      </w:r>
      <w:r>
        <w:rPr>
          <w:rFonts w:ascii="Times New Roman" w:hAnsi="Times New Roman"/>
          <w:bCs/>
          <w:color w:val="000000"/>
          <w:lang w:val="fr-FR"/>
        </w:rPr>
        <w:t>5</w:t>
      </w:r>
      <w:r>
        <w:rPr>
          <w:rFonts w:ascii="Times New Roman" w:hAnsi="Times New Roman"/>
          <w:bCs/>
          <w:color w:val="000000"/>
        </w:rPr>
        <w:t>月正式颁布了</w:t>
      </w:r>
      <w:r>
        <w:rPr>
          <w:rFonts w:ascii="Times New Roman" w:hAnsi="Times New Roman"/>
          <w:bCs/>
          <w:color w:val="000000"/>
          <w:lang w:val="fr-FR"/>
        </w:rPr>
        <w:t>RBI</w:t>
      </w:r>
      <w:r>
        <w:rPr>
          <w:rFonts w:ascii="Times New Roman" w:hAnsi="Times New Roman"/>
          <w:bCs/>
          <w:color w:val="000000"/>
        </w:rPr>
        <w:t>标准</w:t>
      </w:r>
      <w:r>
        <w:rPr>
          <w:rFonts w:ascii="Times New Roman" w:hAnsi="Times New Roman"/>
          <w:bCs/>
          <w:color w:val="000000"/>
          <w:lang w:val="fr-FR"/>
        </w:rPr>
        <w:t>API RP 580</w:t>
      </w:r>
      <w:r>
        <w:rPr>
          <w:rFonts w:ascii="Times New Roman" w:hAnsi="Times New Roman"/>
          <w:bCs/>
          <w:color w:val="000000"/>
        </w:rPr>
        <w:t>。十多年来，西方</w:t>
      </w:r>
      <w:r>
        <w:rPr>
          <w:rFonts w:ascii="Times New Roman" w:hAnsi="Times New Roman"/>
          <w:bCs/>
          <w:color w:val="000000"/>
          <w:szCs w:val="20"/>
          <w:lang w:val="zh-CN"/>
        </w:rPr>
        <w:t>发达国家甚至亚洲的韩国、新加坡等国家和地区的石化炼油厂广泛应用了RBI方法进行成套装置中的承压设备的检验与维修，使得风险和检验维修费用都大幅度下降。</w:t>
      </w:r>
    </w:p>
    <w:p w14:paraId="29705C63">
      <w:pPr>
        <w:tabs>
          <w:tab w:val="left" w:pos="0"/>
          <w:tab w:val="left" w:pos="1440"/>
        </w:tabs>
        <w:adjustRightInd w:val="0"/>
        <w:spacing w:line="240" w:lineRule="auto"/>
        <w:ind w:firstLine="480" w:firstLineChars="200"/>
        <w:jc w:val="both"/>
        <w:rPr>
          <w:rFonts w:ascii="Times New Roman" w:hAnsi="Times New Roman"/>
          <w:bCs/>
          <w:color w:val="000000"/>
          <w:szCs w:val="20"/>
          <w:lang w:val="zh-CN"/>
        </w:rPr>
      </w:pPr>
      <w:r>
        <w:rPr>
          <w:rFonts w:ascii="Times New Roman" w:hAnsi="Times New Roman"/>
          <w:bCs/>
          <w:color w:val="000000"/>
          <w:szCs w:val="20"/>
          <w:lang w:val="zh-CN"/>
        </w:rPr>
        <w:t>自上世纪末期</w:t>
      </w:r>
      <w:r>
        <w:rPr>
          <w:rFonts w:hint="eastAsia" w:ascii="Times New Roman" w:hAnsi="Times New Roman"/>
          <w:bCs/>
          <w:color w:val="000000"/>
          <w:szCs w:val="20"/>
          <w:lang w:val="zh-CN"/>
        </w:rPr>
        <w:t>，中国</w:t>
      </w:r>
      <w:r>
        <w:rPr>
          <w:rFonts w:ascii="Times New Roman" w:hAnsi="Times New Roman"/>
          <w:bCs/>
          <w:color w:val="000000"/>
          <w:szCs w:val="20"/>
          <w:lang w:val="zh-CN"/>
        </w:rPr>
        <w:t>有关高校与研究机构引入RBI概念</w:t>
      </w:r>
      <w:r>
        <w:rPr>
          <w:rFonts w:hint="eastAsia" w:ascii="Times New Roman" w:hAnsi="Times New Roman"/>
          <w:bCs/>
          <w:color w:val="000000"/>
          <w:szCs w:val="20"/>
          <w:lang w:val="zh-CN"/>
        </w:rPr>
        <w:t>。</w:t>
      </w:r>
      <w:r>
        <w:rPr>
          <w:rFonts w:ascii="Times New Roman" w:hAnsi="Times New Roman"/>
          <w:bCs/>
          <w:color w:val="000000"/>
          <w:szCs w:val="20"/>
          <w:lang w:val="zh-CN"/>
        </w:rPr>
        <w:t>近年来，国家科技部及中石油、中石化也设立多项科研项目支持这项工作。</w:t>
      </w:r>
      <w:r>
        <w:rPr>
          <w:rFonts w:hint="eastAsia" w:ascii="Times New Roman" w:hAnsi="Times New Roman"/>
          <w:bCs/>
          <w:color w:val="000000"/>
          <w:szCs w:val="20"/>
          <w:lang w:val="zh-CN"/>
        </w:rPr>
        <w:t>国机特种设备检验有限公司</w:t>
      </w:r>
      <w:r>
        <w:rPr>
          <w:rFonts w:ascii="Times New Roman" w:hAnsi="Times New Roman"/>
          <w:bCs/>
          <w:color w:val="000000"/>
          <w:szCs w:val="20"/>
          <w:lang w:val="zh-CN"/>
        </w:rPr>
        <w:t>等单位已成功地将该技术应用到我国石化装置承压设备的风险评估中，并于2003年开始陆续在茂名石化、镇海炼化、大连西太平洋石化、大庆石化、抚顺石化、大连石化、独山子石化、齐鲁石化、扬子石化、福建炼化等石化企业进行了2000余套石化装置风险评估工作。</w:t>
      </w:r>
    </w:p>
    <w:p w14:paraId="79F24D98">
      <w:pPr>
        <w:tabs>
          <w:tab w:val="left" w:pos="0"/>
          <w:tab w:val="left" w:pos="1440"/>
        </w:tabs>
        <w:adjustRightInd w:val="0"/>
        <w:spacing w:line="240" w:lineRule="auto"/>
        <w:ind w:firstLine="480" w:firstLineChars="200"/>
        <w:jc w:val="both"/>
        <w:rPr>
          <w:rFonts w:ascii="Times New Roman" w:hAnsi="Times New Roman"/>
          <w:spacing w:val="10"/>
        </w:rPr>
      </w:pPr>
      <w:r>
        <w:rPr>
          <w:rFonts w:ascii="Times New Roman" w:hAnsi="Times New Roman"/>
          <w:bCs/>
          <w:color w:val="000000"/>
          <w:szCs w:val="20"/>
          <w:lang w:val="zh-CN"/>
        </w:rPr>
        <w:t>RBI</w:t>
      </w:r>
      <w:r>
        <w:rPr>
          <w:rFonts w:ascii="Times New Roman" w:hAnsi="Times New Roman"/>
          <w:bCs/>
          <w:color w:val="000000"/>
        </w:rPr>
        <w:t>技术在西方一些发达国家已陆续应用于石化装置评价之中，已有了大量的定性、定量</w:t>
      </w:r>
      <w:r>
        <w:rPr>
          <w:rFonts w:ascii="Times New Roman" w:hAnsi="Times New Roman"/>
          <w:bCs/>
          <w:color w:val="000000"/>
          <w:szCs w:val="20"/>
          <w:lang w:val="zh-CN"/>
        </w:rPr>
        <w:t>RBI</w:t>
      </w:r>
      <w:r>
        <w:rPr>
          <w:rFonts w:ascii="Times New Roman" w:hAnsi="Times New Roman"/>
          <w:bCs/>
          <w:color w:val="000000"/>
        </w:rPr>
        <w:t>案例。但国外的</w:t>
      </w:r>
      <w:r>
        <w:rPr>
          <w:rFonts w:ascii="Times New Roman" w:hAnsi="Times New Roman"/>
          <w:bCs/>
          <w:color w:val="000000"/>
          <w:szCs w:val="20"/>
          <w:lang w:val="zh-CN"/>
        </w:rPr>
        <w:t>RBI</w:t>
      </w:r>
      <w:r>
        <w:rPr>
          <w:rFonts w:ascii="Times New Roman" w:hAnsi="Times New Roman"/>
          <w:bCs/>
          <w:color w:val="000000"/>
        </w:rPr>
        <w:t>技术成果是基于所在国的工业水平以及设备管理水平和设备基础数据之上的，可以为RBI在我国石化装置系统的应用提供参考，但不能完全照搬。为在国内石化企业应用</w:t>
      </w:r>
      <w:r>
        <w:rPr>
          <w:rFonts w:ascii="Times New Roman" w:hAnsi="Times New Roman"/>
          <w:bCs/>
          <w:color w:val="000000"/>
          <w:szCs w:val="20"/>
          <w:lang w:val="zh-CN"/>
        </w:rPr>
        <w:t>RBI</w:t>
      </w:r>
      <w:r>
        <w:rPr>
          <w:rFonts w:ascii="Times New Roman" w:hAnsi="Times New Roman"/>
          <w:bCs/>
          <w:color w:val="000000"/>
        </w:rPr>
        <w:t>技术，</w:t>
      </w:r>
      <w:r>
        <w:rPr>
          <w:rFonts w:hint="eastAsia" w:ascii="Times New Roman" w:hAnsi="Times New Roman"/>
          <w:bCs/>
          <w:color w:val="000000"/>
          <w:lang w:eastAsia="zh-CN"/>
        </w:rPr>
        <w:t>国机特种设备检验有限公司</w:t>
      </w:r>
      <w:r>
        <w:rPr>
          <w:rFonts w:ascii="Times New Roman" w:hAnsi="Times New Roman"/>
          <w:color w:val="000000"/>
        </w:rPr>
        <w:t>等单位在引进RBI技术的同时，不断进行适合我国国情的技术转化</w:t>
      </w:r>
      <w:r>
        <w:rPr>
          <w:rFonts w:ascii="Times New Roman" w:hAnsi="Times New Roman"/>
        </w:rPr>
        <w:t>，通过2000余套石化装置的RBI实践，积累了丰富RBI工程应用的经验。</w:t>
      </w:r>
    </w:p>
    <w:p w14:paraId="5341679B">
      <w:pPr>
        <w:tabs>
          <w:tab w:val="left" w:pos="0"/>
          <w:tab w:val="left" w:pos="1440"/>
        </w:tabs>
        <w:adjustRightInd w:val="0"/>
        <w:spacing w:line="240" w:lineRule="auto"/>
        <w:ind w:firstLine="480" w:firstLineChars="200"/>
        <w:jc w:val="both"/>
        <w:rPr>
          <w:rFonts w:ascii="Times New Roman" w:hAnsi="Times New Roman"/>
          <w:spacing w:val="10"/>
        </w:rPr>
      </w:pPr>
      <w:r>
        <w:rPr>
          <w:rFonts w:ascii="Times New Roman" w:hAnsi="Times New Roman"/>
          <w:bCs/>
          <w:color w:val="000000"/>
        </w:rPr>
        <w:t>相对于RBI来说，传统的检验未能将经济性和安全性以及可能存在的失效风险有机地结合起来，检验的频率和程度和受检设备的风险不相称。通常，检验并不是系统地针对高风险设备。然而，运行的经济性要求延长每次停机检验的间隔周期。因此随着检测、诊断技术的发展和设备多年的运行经验，一种新型的风险检验概念被引入国际上大中型石化能源工业，用于提高设备运行的可靠性并降低检验成本</w:t>
      </w:r>
      <w:r>
        <w:rPr>
          <w:rFonts w:hint="eastAsia" w:ascii="Times New Roman" w:hAnsi="Times New Roman"/>
          <w:bCs/>
          <w:color w:val="000000"/>
        </w:rPr>
        <w:t>，</w:t>
      </w:r>
      <w:r>
        <w:rPr>
          <w:rFonts w:ascii="Times New Roman" w:hAnsi="Times New Roman"/>
          <w:bCs/>
          <w:color w:val="000000"/>
        </w:rPr>
        <w:t>经过实践被证明是一种高效的风险分析工具。对企业而言，进行RBI工作的主要意义体现在以下几方面：</w:t>
      </w:r>
    </w:p>
    <w:p w14:paraId="78B113F4">
      <w:pPr>
        <w:widowControl w:val="0"/>
        <w:numPr>
          <w:ilvl w:val="0"/>
          <w:numId w:val="4"/>
        </w:numPr>
        <w:tabs>
          <w:tab w:val="left" w:pos="-1276"/>
          <w:tab w:val="clear" w:pos="360"/>
        </w:tabs>
        <w:spacing w:line="240" w:lineRule="auto"/>
        <w:ind w:left="0" w:firstLine="424" w:firstLineChars="177"/>
        <w:jc w:val="both"/>
        <w:rPr>
          <w:rFonts w:ascii="Times New Roman" w:hAnsi="Times New Roman"/>
          <w:color w:val="000000"/>
        </w:rPr>
      </w:pPr>
      <w:r>
        <w:rPr>
          <w:rFonts w:ascii="Times New Roman" w:hAnsi="Times New Roman"/>
          <w:color w:val="000000"/>
        </w:rPr>
        <w:t>确保设备本质安全；</w:t>
      </w:r>
    </w:p>
    <w:p w14:paraId="7A4633FF">
      <w:pPr>
        <w:widowControl w:val="0"/>
        <w:numPr>
          <w:ilvl w:val="0"/>
          <w:numId w:val="4"/>
        </w:numPr>
        <w:tabs>
          <w:tab w:val="left" w:pos="-1134"/>
          <w:tab w:val="clear" w:pos="360"/>
        </w:tabs>
        <w:spacing w:line="240" w:lineRule="auto"/>
        <w:ind w:left="0" w:firstLine="424" w:firstLineChars="177"/>
        <w:jc w:val="both"/>
        <w:rPr>
          <w:rFonts w:ascii="Times New Roman" w:hAnsi="Times New Roman"/>
          <w:bCs/>
          <w:color w:val="000000"/>
        </w:rPr>
      </w:pPr>
      <w:r>
        <w:rPr>
          <w:rFonts w:ascii="Times New Roman" w:hAnsi="Times New Roman"/>
          <w:bCs/>
          <w:color w:val="000000"/>
        </w:rPr>
        <w:t>提供</w:t>
      </w:r>
      <w:r>
        <w:rPr>
          <w:rFonts w:ascii="Times New Roman" w:hAnsi="Times New Roman"/>
          <w:color w:val="000000"/>
        </w:rPr>
        <w:t>优化</w:t>
      </w:r>
      <w:r>
        <w:rPr>
          <w:rFonts w:ascii="Times New Roman" w:hAnsi="Times New Roman"/>
          <w:bCs/>
          <w:color w:val="000000"/>
        </w:rPr>
        <w:t>的检验策略：</w:t>
      </w:r>
    </w:p>
    <w:p w14:paraId="23132B03">
      <w:pPr>
        <w:widowControl w:val="0"/>
        <w:numPr>
          <w:ilvl w:val="0"/>
          <w:numId w:val="5"/>
        </w:numPr>
        <w:spacing w:line="240" w:lineRule="auto"/>
        <w:jc w:val="both"/>
        <w:rPr>
          <w:rFonts w:ascii="Times New Roman" w:hAnsi="Times New Roman"/>
          <w:bCs/>
          <w:color w:val="000000"/>
        </w:rPr>
      </w:pPr>
      <w:r>
        <w:rPr>
          <w:rFonts w:hint="eastAsia" w:ascii="Times New Roman" w:hAnsi="Times New Roman"/>
          <w:bCs/>
          <w:color w:val="000000"/>
        </w:rPr>
        <w:t>识别</w:t>
      </w:r>
      <w:r>
        <w:rPr>
          <w:rFonts w:ascii="Times New Roman" w:hAnsi="Times New Roman"/>
          <w:bCs/>
          <w:color w:val="000000"/>
        </w:rPr>
        <w:t>潜在</w:t>
      </w:r>
      <w:r>
        <w:rPr>
          <w:rFonts w:hint="eastAsia" w:ascii="Times New Roman" w:hAnsi="Times New Roman"/>
          <w:bCs/>
          <w:color w:val="000000"/>
        </w:rPr>
        <w:t>的高风险</w:t>
      </w:r>
      <w:r>
        <w:rPr>
          <w:rFonts w:ascii="Times New Roman" w:hAnsi="Times New Roman"/>
          <w:bCs/>
          <w:color w:val="000000"/>
        </w:rPr>
        <w:t>设备；</w:t>
      </w:r>
    </w:p>
    <w:p w14:paraId="069DE0E6">
      <w:pPr>
        <w:widowControl w:val="0"/>
        <w:numPr>
          <w:ilvl w:val="0"/>
          <w:numId w:val="5"/>
        </w:numPr>
        <w:spacing w:line="240" w:lineRule="auto"/>
        <w:jc w:val="both"/>
        <w:rPr>
          <w:rFonts w:ascii="Times New Roman" w:hAnsi="Times New Roman"/>
          <w:bCs/>
          <w:color w:val="000000"/>
        </w:rPr>
      </w:pPr>
      <w:r>
        <w:rPr>
          <w:rFonts w:ascii="Times New Roman" w:hAnsi="Times New Roman"/>
          <w:bCs/>
          <w:color w:val="000000"/>
        </w:rPr>
        <w:t>采用针对性的检验技术来进行检验；</w:t>
      </w:r>
    </w:p>
    <w:p w14:paraId="56BC389C">
      <w:pPr>
        <w:widowControl w:val="0"/>
        <w:numPr>
          <w:ilvl w:val="0"/>
          <w:numId w:val="5"/>
        </w:numPr>
        <w:spacing w:line="240" w:lineRule="auto"/>
        <w:jc w:val="both"/>
        <w:rPr>
          <w:rFonts w:ascii="Times New Roman" w:hAnsi="Times New Roman"/>
          <w:bCs/>
          <w:color w:val="000000"/>
        </w:rPr>
      </w:pPr>
      <w:r>
        <w:rPr>
          <w:rFonts w:ascii="Times New Roman" w:hAnsi="Times New Roman"/>
          <w:bCs/>
          <w:color w:val="000000"/>
        </w:rPr>
        <w:t>编制与风险相适应的检验规程。</w:t>
      </w:r>
    </w:p>
    <w:p w14:paraId="2DEC158D">
      <w:pPr>
        <w:widowControl w:val="0"/>
        <w:numPr>
          <w:ilvl w:val="0"/>
          <w:numId w:val="4"/>
        </w:numPr>
        <w:tabs>
          <w:tab w:val="left" w:pos="-1843"/>
          <w:tab w:val="clear" w:pos="360"/>
        </w:tabs>
        <w:spacing w:line="240" w:lineRule="auto"/>
        <w:ind w:left="0" w:firstLine="424" w:firstLineChars="177"/>
        <w:jc w:val="both"/>
        <w:rPr>
          <w:rFonts w:ascii="Times New Roman" w:hAnsi="Times New Roman"/>
          <w:bCs/>
          <w:color w:val="000000"/>
        </w:rPr>
      </w:pPr>
      <w:r>
        <w:rPr>
          <w:rFonts w:ascii="Times New Roman" w:hAnsi="Times New Roman"/>
          <w:bCs/>
          <w:color w:val="000000"/>
        </w:rPr>
        <w:t>降低在役运行费用：</w:t>
      </w:r>
    </w:p>
    <w:p w14:paraId="26E35CFE">
      <w:pPr>
        <w:widowControl w:val="0"/>
        <w:numPr>
          <w:ilvl w:val="0"/>
          <w:numId w:val="6"/>
        </w:numPr>
        <w:tabs>
          <w:tab w:val="left" w:pos="-2268"/>
        </w:tabs>
        <w:spacing w:line="240" w:lineRule="auto"/>
        <w:jc w:val="both"/>
        <w:rPr>
          <w:rFonts w:ascii="Times New Roman" w:hAnsi="Times New Roman"/>
          <w:bCs/>
          <w:color w:val="000000"/>
        </w:rPr>
      </w:pPr>
      <w:r>
        <w:rPr>
          <w:rFonts w:ascii="Times New Roman" w:hAnsi="Times New Roman"/>
          <w:bCs/>
          <w:color w:val="000000"/>
        </w:rPr>
        <w:t>根据</w:t>
      </w:r>
      <w:r>
        <w:rPr>
          <w:rFonts w:hint="eastAsia" w:ascii="Times New Roman" w:hAnsi="Times New Roman"/>
          <w:bCs/>
          <w:color w:val="000000"/>
        </w:rPr>
        <w:t>不同</w:t>
      </w:r>
      <w:r>
        <w:rPr>
          <w:rFonts w:ascii="Times New Roman" w:hAnsi="Times New Roman"/>
          <w:bCs/>
          <w:color w:val="000000"/>
        </w:rPr>
        <w:t>设备</w:t>
      </w:r>
      <w:r>
        <w:rPr>
          <w:rFonts w:hint="eastAsia" w:ascii="Times New Roman" w:hAnsi="Times New Roman"/>
          <w:bCs/>
          <w:color w:val="000000"/>
        </w:rPr>
        <w:t>不同</w:t>
      </w:r>
      <w:r>
        <w:rPr>
          <w:rFonts w:ascii="Times New Roman" w:hAnsi="Times New Roman"/>
          <w:bCs/>
          <w:color w:val="000000"/>
        </w:rPr>
        <w:t>危险程度来确定检验周期；</w:t>
      </w:r>
    </w:p>
    <w:p w14:paraId="7CFAF4E0">
      <w:pPr>
        <w:widowControl w:val="0"/>
        <w:numPr>
          <w:ilvl w:val="0"/>
          <w:numId w:val="6"/>
        </w:numPr>
        <w:tabs>
          <w:tab w:val="left" w:pos="-2268"/>
        </w:tabs>
        <w:spacing w:line="240" w:lineRule="auto"/>
        <w:jc w:val="both"/>
        <w:rPr>
          <w:rFonts w:ascii="Times New Roman" w:hAnsi="Times New Roman"/>
          <w:bCs/>
          <w:color w:val="000000"/>
        </w:rPr>
      </w:pPr>
      <w:r>
        <w:rPr>
          <w:rFonts w:hint="eastAsia" w:ascii="Times New Roman" w:hAnsi="Times New Roman"/>
          <w:bCs/>
          <w:color w:val="000000"/>
        </w:rPr>
        <w:t>将检验</w:t>
      </w:r>
      <w:r>
        <w:rPr>
          <w:rFonts w:ascii="Times New Roman" w:hAnsi="Times New Roman"/>
          <w:bCs/>
          <w:color w:val="000000"/>
        </w:rPr>
        <w:t>费用重点</w:t>
      </w:r>
      <w:r>
        <w:rPr>
          <w:rFonts w:hint="eastAsia" w:ascii="Times New Roman" w:hAnsi="Times New Roman"/>
          <w:bCs/>
          <w:color w:val="000000"/>
        </w:rPr>
        <w:t>投入</w:t>
      </w:r>
      <w:r>
        <w:rPr>
          <w:rFonts w:ascii="Times New Roman" w:hAnsi="Times New Roman"/>
          <w:bCs/>
          <w:color w:val="000000"/>
        </w:rPr>
        <w:t>装置中</w:t>
      </w:r>
      <w:r>
        <w:rPr>
          <w:rFonts w:hint="eastAsia" w:ascii="Times New Roman" w:hAnsi="Times New Roman"/>
          <w:bCs/>
          <w:color w:val="000000"/>
        </w:rPr>
        <w:t>的高风险</w:t>
      </w:r>
      <w:r>
        <w:rPr>
          <w:rFonts w:ascii="Times New Roman" w:hAnsi="Times New Roman"/>
          <w:bCs/>
          <w:color w:val="000000"/>
        </w:rPr>
        <w:t>设备；</w:t>
      </w:r>
    </w:p>
    <w:p w14:paraId="0B5A52FF">
      <w:pPr>
        <w:widowControl w:val="0"/>
        <w:numPr>
          <w:ilvl w:val="0"/>
          <w:numId w:val="6"/>
        </w:numPr>
        <w:tabs>
          <w:tab w:val="left" w:pos="-2268"/>
        </w:tabs>
        <w:spacing w:line="240" w:lineRule="auto"/>
        <w:jc w:val="both"/>
        <w:rPr>
          <w:rFonts w:ascii="Times New Roman" w:hAnsi="Times New Roman"/>
          <w:bCs/>
          <w:color w:val="000000"/>
        </w:rPr>
      </w:pPr>
      <w:r>
        <w:rPr>
          <w:rFonts w:ascii="Times New Roman" w:hAnsi="Times New Roman"/>
          <w:bCs/>
          <w:color w:val="000000"/>
        </w:rPr>
        <w:t>根据风险来确定停机范围。</w:t>
      </w:r>
    </w:p>
    <w:p w14:paraId="54C9A875">
      <w:pPr>
        <w:widowControl w:val="0"/>
        <w:numPr>
          <w:ilvl w:val="0"/>
          <w:numId w:val="4"/>
        </w:numPr>
        <w:tabs>
          <w:tab w:val="left" w:pos="-851"/>
          <w:tab w:val="clear" w:pos="360"/>
        </w:tabs>
        <w:spacing w:line="240" w:lineRule="auto"/>
        <w:ind w:left="0" w:firstLine="424" w:firstLineChars="177"/>
        <w:jc w:val="both"/>
        <w:rPr>
          <w:rFonts w:ascii="Times New Roman" w:hAnsi="Times New Roman"/>
          <w:bCs/>
          <w:color w:val="000000"/>
        </w:rPr>
      </w:pPr>
      <w:r>
        <w:rPr>
          <w:rFonts w:ascii="Times New Roman" w:hAnsi="Times New Roman"/>
          <w:bCs/>
          <w:color w:val="000000"/>
        </w:rPr>
        <w:t>延长</w:t>
      </w:r>
      <w:r>
        <w:rPr>
          <w:rFonts w:ascii="Times New Roman" w:hAnsi="Times New Roman"/>
          <w:color w:val="000000"/>
        </w:rPr>
        <w:t>设备</w:t>
      </w:r>
      <w:r>
        <w:rPr>
          <w:rFonts w:ascii="Times New Roman" w:hAnsi="Times New Roman"/>
          <w:bCs/>
          <w:color w:val="000000"/>
        </w:rPr>
        <w:t>有限运行时间：</w:t>
      </w:r>
    </w:p>
    <w:p w14:paraId="10EF1B29">
      <w:pPr>
        <w:widowControl w:val="0"/>
        <w:numPr>
          <w:ilvl w:val="0"/>
          <w:numId w:val="7"/>
        </w:numPr>
        <w:tabs>
          <w:tab w:val="clear" w:pos="840"/>
        </w:tabs>
        <w:spacing w:line="240" w:lineRule="auto"/>
        <w:ind w:left="0" w:firstLine="424" w:firstLineChars="177"/>
        <w:jc w:val="both"/>
        <w:rPr>
          <w:rFonts w:ascii="Times New Roman" w:hAnsi="Times New Roman"/>
          <w:bCs/>
          <w:color w:val="000000"/>
        </w:rPr>
      </w:pPr>
      <w:r>
        <w:rPr>
          <w:rFonts w:ascii="Times New Roman" w:hAnsi="Times New Roman"/>
          <w:bCs/>
          <w:color w:val="000000"/>
        </w:rPr>
        <w:t>减少停工时间；</w:t>
      </w:r>
    </w:p>
    <w:p w14:paraId="62797A69">
      <w:pPr>
        <w:widowControl w:val="0"/>
        <w:numPr>
          <w:ilvl w:val="0"/>
          <w:numId w:val="7"/>
        </w:numPr>
        <w:tabs>
          <w:tab w:val="clear" w:pos="840"/>
        </w:tabs>
        <w:spacing w:line="240" w:lineRule="auto"/>
        <w:ind w:left="0" w:firstLine="424" w:firstLineChars="177"/>
        <w:jc w:val="both"/>
        <w:rPr>
          <w:rFonts w:ascii="Times New Roman" w:hAnsi="Times New Roman"/>
          <w:bCs/>
          <w:color w:val="000000"/>
        </w:rPr>
      </w:pPr>
      <w:r>
        <w:rPr>
          <w:rFonts w:ascii="Times New Roman" w:hAnsi="Times New Roman"/>
          <w:bCs/>
          <w:color w:val="000000"/>
        </w:rPr>
        <w:t>通过延长检验周期来减少停机检验次数；</w:t>
      </w:r>
    </w:p>
    <w:p w14:paraId="05463E92">
      <w:pPr>
        <w:widowControl w:val="0"/>
        <w:numPr>
          <w:ilvl w:val="0"/>
          <w:numId w:val="7"/>
        </w:numPr>
        <w:tabs>
          <w:tab w:val="clear" w:pos="840"/>
        </w:tabs>
        <w:spacing w:line="240" w:lineRule="auto"/>
        <w:ind w:left="0" w:firstLine="424" w:firstLineChars="177"/>
        <w:jc w:val="both"/>
        <w:rPr>
          <w:rFonts w:ascii="Times New Roman" w:hAnsi="Times New Roman"/>
          <w:bCs/>
          <w:color w:val="000000"/>
        </w:rPr>
      </w:pPr>
      <w:r>
        <w:rPr>
          <w:rFonts w:ascii="Times New Roman" w:hAnsi="Times New Roman"/>
          <w:bCs/>
          <w:color w:val="000000"/>
        </w:rPr>
        <w:t>缩小停机检验的范围；</w:t>
      </w:r>
    </w:p>
    <w:p w14:paraId="27735181">
      <w:pPr>
        <w:widowControl w:val="0"/>
        <w:numPr>
          <w:ilvl w:val="0"/>
          <w:numId w:val="7"/>
        </w:numPr>
        <w:tabs>
          <w:tab w:val="clear" w:pos="840"/>
        </w:tabs>
        <w:spacing w:line="240" w:lineRule="auto"/>
        <w:ind w:left="0" w:firstLine="424" w:firstLineChars="177"/>
        <w:jc w:val="both"/>
        <w:rPr>
          <w:rFonts w:ascii="Times New Roman" w:hAnsi="Times New Roman"/>
          <w:bCs/>
          <w:color w:val="000000"/>
        </w:rPr>
      </w:pPr>
      <w:r>
        <w:rPr>
          <w:rFonts w:ascii="Times New Roman" w:hAnsi="Times New Roman"/>
          <w:bCs/>
          <w:color w:val="000000"/>
        </w:rPr>
        <w:t>提高检验的效率，优化检验计划和检验策略，减少可靠设备不必要的例行检验内容，实施针对性的检验内容；</w:t>
      </w:r>
    </w:p>
    <w:p w14:paraId="5CB2F28A">
      <w:pPr>
        <w:widowControl w:val="0"/>
        <w:numPr>
          <w:ilvl w:val="0"/>
          <w:numId w:val="4"/>
        </w:numPr>
        <w:tabs>
          <w:tab w:val="clear" w:pos="360"/>
        </w:tabs>
        <w:spacing w:line="240" w:lineRule="auto"/>
        <w:ind w:left="0" w:firstLine="424" w:firstLineChars="177"/>
        <w:jc w:val="both"/>
        <w:rPr>
          <w:rFonts w:ascii="Times New Roman" w:hAnsi="Times New Roman"/>
          <w:bCs/>
          <w:color w:val="000000"/>
        </w:rPr>
      </w:pPr>
      <w:r>
        <w:rPr>
          <w:rFonts w:ascii="Times New Roman" w:hAnsi="Times New Roman"/>
          <w:bCs/>
          <w:color w:val="000000"/>
        </w:rPr>
        <w:t>判定和管理装置的安全水平，定义出风险大小、性质及实施的风险消除手段和验收准则。</w:t>
      </w:r>
    </w:p>
    <w:p w14:paraId="21D7C76C">
      <w:pPr>
        <w:spacing w:line="240" w:lineRule="auto"/>
        <w:ind w:firstLine="424" w:firstLineChars="177"/>
        <w:rPr>
          <w:rFonts w:ascii="Times New Roman" w:hAnsi="Times New Roman"/>
        </w:rPr>
      </w:pPr>
      <w:r>
        <w:rPr>
          <w:rFonts w:ascii="Times New Roman" w:hAnsi="Times New Roman"/>
          <w:bCs/>
          <w:color w:val="000000"/>
        </w:rPr>
        <w:t>但风险评估</w:t>
      </w:r>
      <w:r>
        <w:rPr>
          <w:rFonts w:hint="eastAsia" w:ascii="Times New Roman" w:hAnsi="Times New Roman"/>
          <w:bCs/>
          <w:color w:val="000000"/>
        </w:rPr>
        <w:t>不能</w:t>
      </w:r>
      <w:r>
        <w:rPr>
          <w:rFonts w:ascii="Times New Roman" w:hAnsi="Times New Roman"/>
          <w:bCs/>
          <w:color w:val="000000"/>
        </w:rPr>
        <w:t>识别由于人为失误、自然灾害、外部事件、人为破坏、检测能力限制、设计错误、偏离设计工况等因素造成的风险。</w:t>
      </w:r>
    </w:p>
    <w:p w14:paraId="6D148459">
      <w:pPr>
        <w:pStyle w:val="2"/>
        <w:numPr>
          <w:ilvl w:val="0"/>
          <w:numId w:val="3"/>
        </w:numPr>
        <w:spacing w:before="230" w:after="230"/>
      </w:pPr>
      <w:bookmarkStart w:id="33" w:name="_Toc479954842"/>
      <w:bookmarkStart w:id="34" w:name="_Toc479954126"/>
      <w:bookmarkStart w:id="35" w:name="_Toc480551517"/>
      <w:bookmarkStart w:id="36" w:name="_Toc450725837"/>
      <w:bookmarkStart w:id="37" w:name="_Toc18239"/>
      <w:r>
        <w:t>项目实施执行或参照的标准、法规和资料</w:t>
      </w:r>
      <w:bookmarkEnd w:id="33"/>
      <w:bookmarkEnd w:id="34"/>
      <w:bookmarkEnd w:id="35"/>
      <w:bookmarkEnd w:id="36"/>
      <w:bookmarkEnd w:id="37"/>
    </w:p>
    <w:p w14:paraId="5E898E3F">
      <w:pPr>
        <w:pStyle w:val="3"/>
        <w:spacing w:before="115" w:beforeLines="25" w:after="115" w:afterLines="25" w:line="240" w:lineRule="auto"/>
        <w:rPr>
          <w:rFonts w:ascii="Times New Roman" w:hAnsi="Times New Roman"/>
          <w:sz w:val="24"/>
        </w:rPr>
      </w:pPr>
      <w:bookmarkStart w:id="38" w:name="_Toc8440"/>
      <w:r>
        <w:rPr>
          <w:rFonts w:ascii="Times New Roman" w:hAnsi="Times New Roman"/>
          <w:sz w:val="24"/>
        </w:rPr>
        <w:t>3.1 项目实施的主要依据</w:t>
      </w:r>
      <w:bookmarkEnd w:id="38"/>
    </w:p>
    <w:p w14:paraId="6F2FA217">
      <w:pPr>
        <w:widowControl w:val="0"/>
        <w:numPr>
          <w:ilvl w:val="0"/>
          <w:numId w:val="8"/>
        </w:numPr>
        <w:tabs>
          <w:tab w:val="left" w:pos="851"/>
          <w:tab w:val="clear" w:pos="1980"/>
        </w:tabs>
        <w:spacing w:line="240" w:lineRule="auto"/>
        <w:ind w:left="0" w:firstLine="424" w:firstLineChars="177"/>
        <w:jc w:val="both"/>
        <w:rPr>
          <w:color w:val="000000"/>
        </w:rPr>
      </w:pPr>
      <w:r>
        <w:rPr>
          <w:color w:val="000000"/>
        </w:rPr>
        <w:t xml:space="preserve">TSG </w:t>
      </w:r>
      <w:r>
        <w:rPr>
          <w:rFonts w:hint="eastAsia"/>
          <w:color w:val="000000"/>
        </w:rPr>
        <w:t>21</w:t>
      </w:r>
      <w:r>
        <w:rPr>
          <w:color w:val="000000"/>
        </w:rPr>
        <w:t>-</w:t>
      </w:r>
      <w:r>
        <w:rPr>
          <w:rFonts w:hint="eastAsia"/>
          <w:color w:val="000000"/>
        </w:rPr>
        <w:t>2016</w:t>
      </w:r>
      <w:r>
        <w:rPr>
          <w:color w:val="000000"/>
        </w:rPr>
        <w:t xml:space="preserve"> </w:t>
      </w:r>
      <w:r>
        <w:rPr>
          <w:rFonts w:hint="eastAsia"/>
          <w:color w:val="000000"/>
        </w:rPr>
        <w:t>《固定式压力容器安全技术监察规程》</w:t>
      </w:r>
    </w:p>
    <w:p w14:paraId="2DBD678E">
      <w:pPr>
        <w:widowControl w:val="0"/>
        <w:numPr>
          <w:ilvl w:val="0"/>
          <w:numId w:val="8"/>
        </w:numPr>
        <w:tabs>
          <w:tab w:val="left" w:pos="851"/>
          <w:tab w:val="clear" w:pos="1980"/>
        </w:tabs>
        <w:spacing w:line="240" w:lineRule="auto"/>
        <w:ind w:left="0" w:firstLine="424" w:firstLineChars="177"/>
        <w:jc w:val="both"/>
        <w:rPr>
          <w:color w:val="000000"/>
        </w:rPr>
      </w:pPr>
      <w:r>
        <w:rPr>
          <w:rFonts w:hint="eastAsia"/>
          <w:color w:val="000000"/>
        </w:rPr>
        <w:t>TSG 92-2026 《承压类特种设备安全附件安全技术规程》</w:t>
      </w:r>
    </w:p>
    <w:p w14:paraId="13EC3C01">
      <w:pPr>
        <w:widowControl w:val="0"/>
        <w:numPr>
          <w:ilvl w:val="0"/>
          <w:numId w:val="8"/>
        </w:numPr>
        <w:tabs>
          <w:tab w:val="left" w:pos="851"/>
          <w:tab w:val="clear" w:pos="1980"/>
        </w:tabs>
        <w:spacing w:line="240" w:lineRule="auto"/>
        <w:ind w:left="0" w:firstLine="424" w:firstLineChars="177"/>
        <w:jc w:val="both"/>
        <w:rPr>
          <w:color w:val="000000"/>
        </w:rPr>
      </w:pPr>
      <w:r>
        <w:rPr>
          <w:color w:val="000000"/>
        </w:rPr>
        <w:t>GB/T 26610.1-</w:t>
      </w:r>
      <w:r>
        <w:rPr>
          <w:rFonts w:hint="eastAsia"/>
          <w:color w:val="000000"/>
        </w:rPr>
        <w:t>2022</w:t>
      </w:r>
      <w:r>
        <w:rPr>
          <w:color w:val="000000"/>
        </w:rPr>
        <w:t xml:space="preserve"> </w:t>
      </w:r>
      <w:r>
        <w:rPr>
          <w:rFonts w:hint="eastAsia"/>
          <w:color w:val="000000"/>
        </w:rPr>
        <w:t>《承压设备系统基于风险的检验系列标准－基本要求和实施程序》</w:t>
      </w:r>
    </w:p>
    <w:p w14:paraId="1C40BBFC">
      <w:pPr>
        <w:widowControl w:val="0"/>
        <w:numPr>
          <w:ilvl w:val="0"/>
          <w:numId w:val="8"/>
        </w:numPr>
        <w:tabs>
          <w:tab w:val="left" w:pos="851"/>
          <w:tab w:val="clear" w:pos="1980"/>
        </w:tabs>
        <w:spacing w:line="240" w:lineRule="auto"/>
        <w:ind w:left="0" w:firstLine="424" w:firstLineChars="177"/>
        <w:jc w:val="both"/>
        <w:rPr>
          <w:color w:val="000000"/>
        </w:rPr>
      </w:pPr>
      <w:r>
        <w:rPr>
          <w:color w:val="000000"/>
        </w:rPr>
        <w:t>GB/T 26610.</w:t>
      </w:r>
      <w:r>
        <w:rPr>
          <w:rFonts w:hint="eastAsia"/>
          <w:color w:val="000000"/>
        </w:rPr>
        <w:t>2</w:t>
      </w:r>
      <w:r>
        <w:rPr>
          <w:color w:val="000000"/>
        </w:rPr>
        <w:t>-</w:t>
      </w:r>
      <w:r>
        <w:rPr>
          <w:rFonts w:hint="eastAsia"/>
          <w:color w:val="000000"/>
        </w:rPr>
        <w:t>2022</w:t>
      </w:r>
      <w:r>
        <w:rPr>
          <w:color w:val="000000"/>
        </w:rPr>
        <w:t xml:space="preserve"> </w:t>
      </w:r>
      <w:r>
        <w:rPr>
          <w:rFonts w:hint="eastAsia"/>
          <w:color w:val="000000"/>
        </w:rPr>
        <w:t>《承压设备系统基于风险的检验系列标准－基于风险的检验策略》</w:t>
      </w:r>
    </w:p>
    <w:p w14:paraId="160A8758">
      <w:pPr>
        <w:widowControl w:val="0"/>
        <w:numPr>
          <w:ilvl w:val="0"/>
          <w:numId w:val="8"/>
        </w:numPr>
        <w:tabs>
          <w:tab w:val="left" w:pos="851"/>
          <w:tab w:val="clear" w:pos="1980"/>
        </w:tabs>
        <w:spacing w:line="240" w:lineRule="auto"/>
        <w:ind w:left="0" w:firstLine="424" w:firstLineChars="177"/>
        <w:jc w:val="both"/>
        <w:rPr>
          <w:color w:val="000000"/>
        </w:rPr>
      </w:pPr>
      <w:r>
        <w:rPr>
          <w:color w:val="000000"/>
        </w:rPr>
        <w:t>GB/T 26610.</w:t>
      </w:r>
      <w:r>
        <w:rPr>
          <w:rFonts w:hint="eastAsia"/>
          <w:color w:val="000000"/>
        </w:rPr>
        <w:t>4</w:t>
      </w:r>
      <w:r>
        <w:rPr>
          <w:color w:val="000000"/>
        </w:rPr>
        <w:t>-</w:t>
      </w:r>
      <w:r>
        <w:rPr>
          <w:rFonts w:hint="eastAsia"/>
          <w:color w:val="000000"/>
        </w:rPr>
        <w:t>2022</w:t>
      </w:r>
      <w:r>
        <w:rPr>
          <w:color w:val="000000"/>
        </w:rPr>
        <w:t xml:space="preserve"> </w:t>
      </w:r>
      <w:r>
        <w:rPr>
          <w:rFonts w:hint="eastAsia"/>
          <w:color w:val="000000"/>
        </w:rPr>
        <w:t>《承压设备系统基于风险的检验系列标准－失效可能性定量分析方法》</w:t>
      </w:r>
    </w:p>
    <w:p w14:paraId="2B2953AD">
      <w:pPr>
        <w:widowControl w:val="0"/>
        <w:numPr>
          <w:ilvl w:val="0"/>
          <w:numId w:val="8"/>
        </w:numPr>
        <w:tabs>
          <w:tab w:val="left" w:pos="851"/>
          <w:tab w:val="clear" w:pos="1980"/>
        </w:tabs>
        <w:spacing w:line="240" w:lineRule="auto"/>
        <w:ind w:left="0" w:firstLine="424" w:firstLineChars="177"/>
        <w:jc w:val="both"/>
        <w:rPr>
          <w:color w:val="000000"/>
        </w:rPr>
      </w:pPr>
      <w:r>
        <w:rPr>
          <w:color w:val="000000"/>
        </w:rPr>
        <w:t>GB/T 26610.</w:t>
      </w:r>
      <w:r>
        <w:rPr>
          <w:rFonts w:hint="eastAsia"/>
          <w:color w:val="000000"/>
        </w:rPr>
        <w:t>5</w:t>
      </w:r>
      <w:r>
        <w:rPr>
          <w:color w:val="000000"/>
        </w:rPr>
        <w:t>-</w:t>
      </w:r>
      <w:r>
        <w:rPr>
          <w:rFonts w:hint="eastAsia"/>
          <w:color w:val="000000"/>
        </w:rPr>
        <w:t>2022</w:t>
      </w:r>
      <w:r>
        <w:rPr>
          <w:color w:val="000000"/>
        </w:rPr>
        <w:t xml:space="preserve"> </w:t>
      </w:r>
      <w:r>
        <w:rPr>
          <w:rFonts w:hint="eastAsia"/>
          <w:color w:val="000000"/>
        </w:rPr>
        <w:t>《承压设备系统基于风险的检验系列标准－失效后果定量分析方法》</w:t>
      </w:r>
    </w:p>
    <w:p w14:paraId="28A75A09">
      <w:pPr>
        <w:widowControl w:val="0"/>
        <w:numPr>
          <w:ilvl w:val="0"/>
          <w:numId w:val="8"/>
        </w:numPr>
        <w:tabs>
          <w:tab w:val="left" w:pos="851"/>
          <w:tab w:val="clear" w:pos="1980"/>
        </w:tabs>
        <w:spacing w:line="240" w:lineRule="auto"/>
        <w:ind w:left="0" w:firstLine="424" w:firstLineChars="177"/>
        <w:jc w:val="both"/>
        <w:rPr>
          <w:color w:val="000000"/>
        </w:rPr>
      </w:pPr>
      <w:r>
        <w:rPr>
          <w:color w:val="000000"/>
        </w:rPr>
        <w:t>GB/T 30579</w:t>
      </w:r>
      <w:r>
        <w:rPr>
          <w:rFonts w:hint="eastAsia"/>
          <w:color w:val="000000"/>
        </w:rPr>
        <w:t>-2022</w:t>
      </w:r>
      <w:r>
        <w:rPr>
          <w:color w:val="000000"/>
        </w:rPr>
        <w:t xml:space="preserve"> </w:t>
      </w:r>
      <w:r>
        <w:rPr>
          <w:rFonts w:hint="eastAsia"/>
          <w:color w:val="000000"/>
        </w:rPr>
        <w:t>《承压设备损伤模式识别》</w:t>
      </w:r>
    </w:p>
    <w:p w14:paraId="34931F4E">
      <w:pPr>
        <w:pStyle w:val="3"/>
        <w:spacing w:before="115" w:beforeLines="25" w:after="115" w:afterLines="25" w:line="240" w:lineRule="auto"/>
        <w:rPr>
          <w:rFonts w:ascii="Times New Roman" w:hAnsi="Times New Roman"/>
          <w:sz w:val="24"/>
        </w:rPr>
      </w:pPr>
      <w:bookmarkStart w:id="39" w:name="_Toc29567"/>
      <w:r>
        <w:rPr>
          <w:rFonts w:ascii="Times New Roman" w:hAnsi="Times New Roman"/>
          <w:sz w:val="24"/>
        </w:rPr>
        <w:t>3.2 其他参考标准、法规和资料</w:t>
      </w:r>
      <w:bookmarkEnd w:id="39"/>
    </w:p>
    <w:p w14:paraId="7697E507">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rPr>
        <w:t>《中华人民共和国特种设备安全法》</w:t>
      </w:r>
    </w:p>
    <w:p w14:paraId="352625A5">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rPr>
        <w:t>《特种设备安全监察条例》</w:t>
      </w:r>
    </w:p>
    <w:p w14:paraId="2886752E">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API 581 Risk-based Inspection Methodology</w:t>
      </w:r>
    </w:p>
    <w:p w14:paraId="60AE5D89">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CRTD-Vol.20 Risk-based Inspection - Development of Guidelines</w:t>
      </w:r>
    </w:p>
    <w:p w14:paraId="4E8AA028">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API 580 Risk-based Inspection</w:t>
      </w:r>
    </w:p>
    <w:p w14:paraId="645C1242">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API 571 Damage Mechanisms Affecting Fixed Equipment in the Refining Industry</w:t>
      </w:r>
    </w:p>
    <w:p w14:paraId="1A98ED1E">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API 579 Fitness for Service</w:t>
      </w:r>
    </w:p>
    <w:p w14:paraId="2DDE86DE">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API 750 Management of Process Hazards</w:t>
      </w:r>
    </w:p>
    <w:p w14:paraId="3C2045EA">
      <w:pPr>
        <w:widowControl w:val="0"/>
        <w:numPr>
          <w:ilvl w:val="0"/>
          <w:numId w:val="9"/>
        </w:numPr>
        <w:tabs>
          <w:tab w:val="clear" w:pos="1980"/>
        </w:tabs>
        <w:spacing w:line="240" w:lineRule="auto"/>
        <w:ind w:left="0" w:firstLine="424" w:firstLineChars="177"/>
        <w:jc w:val="both"/>
        <w:rPr>
          <w:rFonts w:cs="Arial Narrow"/>
          <w:color w:val="000000"/>
        </w:rPr>
      </w:pPr>
      <w:r>
        <w:rPr>
          <w:rFonts w:cs="Arial Narrow"/>
          <w:color w:val="000000"/>
        </w:rPr>
        <w:t>OSHA规范1910.119《Process Safety Management of Highly Hazardous Chemicals》</w:t>
      </w:r>
    </w:p>
    <w:p w14:paraId="3AAF48FC">
      <w:pPr>
        <w:widowControl w:val="0"/>
        <w:numPr>
          <w:ilvl w:val="0"/>
          <w:numId w:val="9"/>
        </w:numPr>
        <w:tabs>
          <w:tab w:val="left" w:pos="851"/>
          <w:tab w:val="clear" w:pos="1980"/>
        </w:tabs>
        <w:spacing w:line="240" w:lineRule="auto"/>
        <w:ind w:left="0" w:firstLine="424" w:firstLineChars="177"/>
        <w:jc w:val="both"/>
        <w:rPr>
          <w:rFonts w:cs="Arial Narrow"/>
          <w:color w:val="000000"/>
        </w:rPr>
      </w:pPr>
      <w:r>
        <w:rPr>
          <w:rFonts w:cs="Arial Narrow"/>
          <w:color w:val="000000"/>
        </w:rPr>
        <w:t>ASME B31.8S《Managing System Integrity of Gas Pipelines》</w:t>
      </w:r>
    </w:p>
    <w:p w14:paraId="69814D3C">
      <w:pPr>
        <w:widowControl w:val="0"/>
        <w:numPr>
          <w:ilvl w:val="0"/>
          <w:numId w:val="9"/>
        </w:numPr>
        <w:tabs>
          <w:tab w:val="left" w:pos="851"/>
          <w:tab w:val="clear" w:pos="1980"/>
        </w:tabs>
        <w:spacing w:after="460" w:afterLines="100" w:line="240" w:lineRule="auto"/>
        <w:ind w:left="0" w:firstLine="424" w:firstLineChars="177"/>
        <w:jc w:val="both"/>
        <w:rPr>
          <w:rFonts w:cs="Arial Narrow"/>
          <w:color w:val="000000"/>
        </w:rPr>
      </w:pPr>
      <w:r>
        <w:rPr>
          <w:rFonts w:cs="Arial Narrow"/>
          <w:color w:val="000000"/>
        </w:rPr>
        <w:t>装置设计、制造、安装、检验、运行记录等有关资料</w:t>
      </w:r>
    </w:p>
    <w:p w14:paraId="3FF40457">
      <w:pPr>
        <w:pStyle w:val="2"/>
        <w:numPr>
          <w:ilvl w:val="0"/>
          <w:numId w:val="3"/>
        </w:numPr>
        <w:spacing w:before="230" w:after="230" w:line="240" w:lineRule="auto"/>
      </w:pPr>
      <w:bookmarkStart w:id="40" w:name="_Toc22790"/>
      <w:r>
        <w:rPr>
          <w:rFonts w:hint="eastAsia"/>
        </w:rPr>
        <w:t>使用单位应用R</w:t>
      </w:r>
      <w:r>
        <w:t>BI</w:t>
      </w:r>
      <w:r>
        <w:rPr>
          <w:rFonts w:hint="eastAsia"/>
        </w:rPr>
        <w:t>条件审查</w:t>
      </w:r>
      <w:bookmarkEnd w:id="40"/>
    </w:p>
    <w:p w14:paraId="5DE4C990">
      <w:pPr>
        <w:widowControl w:val="0"/>
        <w:tabs>
          <w:tab w:val="left" w:pos="851"/>
        </w:tabs>
        <w:spacing w:line="240" w:lineRule="auto"/>
        <w:ind w:firstLine="480" w:firstLineChars="200"/>
        <w:jc w:val="both"/>
        <w:rPr>
          <w:rFonts w:hint="eastAsia"/>
          <w:lang/>
        </w:rPr>
      </w:pPr>
      <w:r>
        <w:rPr>
          <w:rFonts w:hint="eastAsia"/>
          <w:lang/>
        </w:rPr>
        <w:t>经</w:t>
      </w:r>
      <w:r>
        <w:rPr>
          <w:rFonts w:hint="eastAsia"/>
        </w:rPr>
        <w:t>资料审核</w:t>
      </w:r>
      <w:r>
        <w:rPr>
          <w:rFonts w:hint="eastAsia"/>
          <w:lang/>
        </w:rPr>
        <w:t>，使用单位</w:t>
      </w:r>
      <w:r>
        <w:rPr>
          <w:rFonts w:hint="eastAsia"/>
        </w:rPr>
        <w:t>通过了</w:t>
      </w:r>
      <w:r>
        <w:rPr>
          <w:rFonts w:hint="eastAsia"/>
          <w:lang/>
        </w:rPr>
        <w:t>上级主管单位</w:t>
      </w:r>
      <w:r>
        <w:rPr>
          <w:rFonts w:hint="eastAsia"/>
        </w:rPr>
        <w:t>对其进行的</w:t>
      </w:r>
      <w:r>
        <w:rPr>
          <w:rFonts w:hint="eastAsia"/>
          <w:lang/>
        </w:rPr>
        <w:t>安全管理评价，</w:t>
      </w:r>
      <w:r>
        <w:rPr>
          <w:rFonts w:hint="eastAsia"/>
        </w:rPr>
        <w:t>符合TSG21-2016</w:t>
      </w:r>
      <w:r>
        <w:rPr>
          <w:rFonts w:hint="eastAsia"/>
          <w:color w:val="000000"/>
        </w:rPr>
        <w:t>《固定式压力容器安全技术监察规程》 8.10.1及TSG31-2025《工业管道安全技术规程》7.9.1的相关要求，</w:t>
      </w:r>
      <w:r>
        <w:rPr>
          <w:rFonts w:hint="eastAsia"/>
          <w:lang/>
        </w:rPr>
        <w:t>可以应用基于风险的检验（R</w:t>
      </w:r>
      <w:r>
        <w:rPr>
          <w:lang/>
        </w:rPr>
        <w:t>BI</w:t>
      </w:r>
      <w:r>
        <w:rPr>
          <w:rFonts w:hint="eastAsia"/>
          <w:lang/>
        </w:rPr>
        <w:t>）技术。</w:t>
      </w:r>
    </w:p>
    <w:p w14:paraId="52342545">
      <w:pPr>
        <w:pStyle w:val="2"/>
        <w:numPr>
          <w:ilvl w:val="0"/>
          <w:numId w:val="3"/>
        </w:numPr>
        <w:spacing w:before="230" w:after="230" w:line="240" w:lineRule="auto"/>
        <w:rPr>
          <w:rFonts w:hint="eastAsia"/>
        </w:rPr>
      </w:pPr>
      <w:bookmarkStart w:id="41" w:name="_Toc480551518"/>
      <w:bookmarkStart w:id="42" w:name="_Toc326849997"/>
      <w:bookmarkStart w:id="43" w:name="_Toc325294277"/>
      <w:bookmarkStart w:id="44" w:name="_Toc326808350"/>
      <w:bookmarkStart w:id="45" w:name="_Toc327251563"/>
      <w:bookmarkStart w:id="46" w:name="_Toc326585988"/>
      <w:bookmarkStart w:id="47" w:name="_Toc23692"/>
      <w:r>
        <w:t>装置概况</w:t>
      </w:r>
      <w:bookmarkEnd w:id="41"/>
      <w:bookmarkEnd w:id="42"/>
      <w:bookmarkEnd w:id="43"/>
      <w:bookmarkEnd w:id="44"/>
      <w:bookmarkEnd w:id="45"/>
      <w:bookmarkEnd w:id="46"/>
      <w:bookmarkEnd w:id="47"/>
    </w:p>
    <w:p w14:paraId="5B537B90">
      <w:pPr>
        <w:pStyle w:val="3"/>
        <w:spacing w:before="115" w:beforeLines="25" w:after="115" w:afterLines="25" w:line="240" w:lineRule="auto"/>
        <w:rPr>
          <w:rFonts w:ascii="Times New Roman" w:hAnsi="Times New Roman"/>
          <w:sz w:val="24"/>
        </w:rPr>
      </w:pPr>
      <w:bookmarkStart w:id="48" w:name="_Toc325294278"/>
      <w:bookmarkStart w:id="49" w:name="_Toc327251564"/>
      <w:bookmarkStart w:id="50" w:name="_Toc4950"/>
      <w:bookmarkStart w:id="51" w:name="_Toc480551519"/>
      <w:bookmarkStart w:id="52" w:name="_Toc326808351"/>
      <w:bookmarkStart w:id="53" w:name="_Toc326849998"/>
      <w:bookmarkStart w:id="54" w:name="_Toc326585989"/>
      <w:r>
        <w:rPr>
          <w:rFonts w:hint="eastAsia" w:ascii="Times New Roman" w:hAnsi="Times New Roman"/>
          <w:sz w:val="24"/>
        </w:rPr>
        <w:t>5</w:t>
      </w:r>
      <w:r>
        <w:rPr>
          <w:rFonts w:ascii="Times New Roman" w:hAnsi="Times New Roman"/>
          <w:sz w:val="24"/>
        </w:rPr>
        <w:t>.1</w:t>
      </w:r>
      <w:r>
        <w:rPr>
          <w:rFonts w:hint="eastAsia" w:ascii="Times New Roman" w:hAnsi="Times New Roman"/>
          <w:sz w:val="24"/>
        </w:rPr>
        <w:t xml:space="preserve"> </w:t>
      </w:r>
      <w:r>
        <w:rPr>
          <w:rFonts w:ascii="Times New Roman" w:hAnsi="Times New Roman"/>
          <w:sz w:val="24"/>
        </w:rPr>
        <w:t>装置简介</w:t>
      </w:r>
      <w:bookmarkEnd w:id="48"/>
      <w:bookmarkEnd w:id="49"/>
      <w:bookmarkEnd w:id="50"/>
      <w:bookmarkEnd w:id="51"/>
      <w:bookmarkEnd w:id="52"/>
      <w:bookmarkEnd w:id="53"/>
      <w:bookmarkEnd w:id="54"/>
    </w:p>
    <w:p w14:paraId="4E5B4779">
      <w:pPr>
        <w:spacing w:line="240" w:lineRule="auto"/>
        <w:ind w:firstLine="480"/>
        <w:jc w:val="both"/>
        <w:rPr>
          <w:rFonts w:hint="eastAsia" w:ascii="宋体" w:hAnsi="宋体"/>
        </w:rPr>
      </w:pPr>
      <w:r>
        <w:rPr>
          <w:rFonts w:hint="eastAsia" w:ascii="宋体" w:hAnsi="宋体" w:cs="宋体"/>
          <w:szCs w:val="28"/>
        </w:rPr>
        <w:t>中国石油化工股份有限公司荆门分公司溶剂脱沥青装置始建于1970年7月，于1973年7月竣工，同年11月试生产，12月停工封存，1978年续建第二套萃取——临界系统。截至2023年，装置共进行了多次大的技术改造，装置设计规模为每年开工8400小时，加工量为40万吨/年</w:t>
      </w:r>
      <w:r>
        <w:rPr>
          <w:rFonts w:hint="eastAsia" w:ascii="宋体" w:hAnsi="宋体"/>
        </w:rPr>
        <w:t>。改造历史如下：</w:t>
      </w:r>
    </w:p>
    <w:p w14:paraId="015D13CE">
      <w:pPr>
        <w:spacing w:line="240" w:lineRule="auto"/>
        <w:ind w:firstLine="480"/>
        <w:jc w:val="both"/>
        <w:rPr>
          <w:rFonts w:ascii="宋体" w:hAnsi="宋体"/>
        </w:rPr>
      </w:pPr>
      <w:r>
        <w:rPr>
          <w:rFonts w:ascii="宋体" w:hAnsi="宋体"/>
        </w:rPr>
        <w:t>1982年去掉文氏管水洗和降膜蒸发旋风分离，1983年上重油蒸发塔一座。</w:t>
      </w:r>
    </w:p>
    <w:p w14:paraId="6A0C3A90">
      <w:pPr>
        <w:spacing w:line="240" w:lineRule="auto"/>
        <w:ind w:firstLine="480"/>
        <w:jc w:val="both"/>
        <w:rPr>
          <w:rFonts w:ascii="宋体" w:hAnsi="宋体"/>
        </w:rPr>
      </w:pPr>
      <w:r>
        <w:rPr>
          <w:rFonts w:ascii="宋体" w:hAnsi="宋体"/>
        </w:rPr>
        <w:t>1992年装置节能改造，上轻油蒸发塔一座，换热器14座，增加丙烷增压泵3台等。</w:t>
      </w:r>
    </w:p>
    <w:p w14:paraId="30D1171B">
      <w:pPr>
        <w:spacing w:line="240" w:lineRule="auto"/>
        <w:ind w:firstLine="480"/>
        <w:jc w:val="both"/>
        <w:rPr>
          <w:rFonts w:ascii="宋体" w:hAnsi="宋体"/>
        </w:rPr>
      </w:pPr>
      <w:r>
        <w:rPr>
          <w:rFonts w:ascii="宋体" w:hAnsi="宋体"/>
        </w:rPr>
        <w:t>2005年上一套碱洗脱硫。</w:t>
      </w:r>
    </w:p>
    <w:p w14:paraId="2F8CA175">
      <w:pPr>
        <w:spacing w:line="240" w:lineRule="auto"/>
        <w:ind w:firstLine="480"/>
        <w:jc w:val="both"/>
        <w:rPr>
          <w:rFonts w:ascii="宋体" w:hAnsi="宋体"/>
        </w:rPr>
      </w:pPr>
      <w:r>
        <w:rPr>
          <w:rFonts w:ascii="宋体" w:hAnsi="宋体"/>
        </w:rPr>
        <w:t>2008年上一中压注氨脱硫。</w:t>
      </w:r>
    </w:p>
    <w:p w14:paraId="45AF03AF">
      <w:pPr>
        <w:spacing w:line="240" w:lineRule="auto"/>
        <w:ind w:firstLine="480"/>
        <w:jc w:val="both"/>
        <w:rPr>
          <w:rFonts w:ascii="宋体" w:hAnsi="宋体"/>
        </w:rPr>
      </w:pPr>
      <w:r>
        <w:rPr>
          <w:rFonts w:ascii="宋体" w:hAnsi="宋体"/>
        </w:rPr>
        <w:t>2015年10月上碳四回收系统。</w:t>
      </w:r>
    </w:p>
    <w:p w14:paraId="4F09AF23">
      <w:pPr>
        <w:spacing w:line="240" w:lineRule="auto"/>
        <w:ind w:firstLine="480"/>
        <w:jc w:val="both"/>
        <w:rPr>
          <w:rFonts w:ascii="宋体" w:hAnsi="宋体"/>
        </w:rPr>
      </w:pPr>
      <w:r>
        <w:rPr>
          <w:rFonts w:ascii="宋体" w:hAnsi="宋体"/>
        </w:rPr>
        <w:t>2023年9月进行加热炉联锁保护、串压风险改造。</w:t>
      </w:r>
    </w:p>
    <w:p w14:paraId="20A3D28D">
      <w:pPr>
        <w:pStyle w:val="3"/>
        <w:spacing w:before="115" w:beforeLines="25" w:after="115" w:afterLines="25" w:line="240" w:lineRule="auto"/>
        <w:rPr>
          <w:rFonts w:ascii="Times New Roman" w:hAnsi="Times New Roman"/>
          <w:sz w:val="24"/>
        </w:rPr>
      </w:pPr>
      <w:bookmarkStart w:id="55" w:name="_Toc326585990"/>
      <w:bookmarkStart w:id="56" w:name="_Toc325294279"/>
      <w:bookmarkStart w:id="57" w:name="_Toc326849999"/>
      <w:bookmarkStart w:id="58" w:name="_Toc327251565"/>
      <w:bookmarkStart w:id="59" w:name="_Toc98261453"/>
      <w:bookmarkStart w:id="60" w:name="_Toc326808352"/>
      <w:bookmarkStart w:id="61" w:name="_Toc480551520"/>
      <w:bookmarkStart w:id="62" w:name="_Toc20946"/>
      <w:r>
        <w:rPr>
          <w:rFonts w:hint="eastAsia" w:ascii="Times New Roman" w:hAnsi="Times New Roman"/>
          <w:sz w:val="24"/>
        </w:rPr>
        <w:t>5</w:t>
      </w:r>
      <w:r>
        <w:rPr>
          <w:rFonts w:ascii="Times New Roman" w:hAnsi="Times New Roman"/>
          <w:sz w:val="24"/>
        </w:rPr>
        <w:t>.2</w:t>
      </w:r>
      <w:bookmarkEnd w:id="55"/>
      <w:bookmarkEnd w:id="56"/>
      <w:bookmarkEnd w:id="57"/>
      <w:bookmarkEnd w:id="58"/>
      <w:bookmarkEnd w:id="59"/>
      <w:bookmarkEnd w:id="60"/>
      <w:r>
        <w:rPr>
          <w:rFonts w:hint="eastAsia" w:ascii="Times New Roman" w:hAnsi="Times New Roman"/>
          <w:sz w:val="24"/>
        </w:rPr>
        <w:t xml:space="preserve"> </w:t>
      </w:r>
      <w:r>
        <w:rPr>
          <w:rFonts w:ascii="Times New Roman" w:hAnsi="Times New Roman"/>
          <w:sz w:val="24"/>
        </w:rPr>
        <w:t>装置评估设备与管道统计</w:t>
      </w:r>
      <w:bookmarkEnd w:id="61"/>
      <w:bookmarkEnd w:id="62"/>
    </w:p>
    <w:p w14:paraId="2904E6B0">
      <w:pPr>
        <w:keepNext/>
        <w:spacing w:line="240" w:lineRule="auto"/>
        <w:jc w:val="center"/>
        <w:rPr>
          <w:rFonts w:ascii="Times New Roman" w:hAnsi="Times New Roman"/>
          <w:color w:val="000000"/>
        </w:rPr>
      </w:pPr>
      <w:bookmarkStart w:id="63" w:name="_Toc98261454"/>
      <w:r>
        <w:rPr>
          <w:rFonts w:ascii="Times New Roman" w:hAnsi="Times New Roman"/>
        </w:rPr>
        <w:t>表</w:t>
      </w:r>
      <w:r>
        <w:rPr>
          <w:rFonts w:hint="eastAsia" w:ascii="Times New Roman" w:hAnsi="Times New Roman"/>
        </w:rPr>
        <w:t>5</w:t>
      </w:r>
      <w:r>
        <w:rPr>
          <w:rFonts w:ascii="Times New Roman" w:hAnsi="Times New Roman"/>
        </w:rPr>
        <w:t>-1</w:t>
      </w:r>
      <w:r>
        <w:rPr>
          <w:rFonts w:hint="eastAsia" w:ascii="Times New Roman" w:hAnsi="Times New Roman"/>
        </w:rPr>
        <w:t>设备</w:t>
      </w:r>
      <w:r>
        <w:rPr>
          <w:rFonts w:ascii="Times New Roman" w:hAnsi="Times New Roman"/>
          <w:color w:val="000000"/>
        </w:rPr>
        <w:t>评估数量统计</w:t>
      </w:r>
      <w:r>
        <w:rPr>
          <w:rFonts w:hint="eastAsia" w:ascii="Times New Roman" w:hAnsi="Times New Roman"/>
          <w:color w:val="000000"/>
        </w:rPr>
        <w:t>（台）</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7"/>
        <w:gridCol w:w="1048"/>
        <w:gridCol w:w="1464"/>
        <w:gridCol w:w="1464"/>
        <w:gridCol w:w="1464"/>
        <w:gridCol w:w="1464"/>
      </w:tblGrid>
      <w:tr w14:paraId="32B0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65" w:type="pct"/>
            <w:noWrap w:val="0"/>
            <w:vAlign w:val="center"/>
          </w:tcPr>
          <w:p w14:paraId="40B3F87D">
            <w:pPr>
              <w:spacing w:line="276" w:lineRule="auto"/>
              <w:jc w:val="center"/>
              <w:rPr>
                <w:rFonts w:cs="Arial Narrow"/>
                <w:color w:val="000000"/>
                <w:sz w:val="21"/>
                <w:szCs w:val="21"/>
              </w:rPr>
            </w:pPr>
            <w:r>
              <w:rPr>
                <w:rFonts w:cs="Arial Narrow"/>
                <w:color w:val="000000"/>
                <w:sz w:val="21"/>
                <w:szCs w:val="21"/>
              </w:rPr>
              <w:t>名称</w:t>
            </w:r>
          </w:p>
        </w:tc>
        <w:tc>
          <w:tcPr>
            <w:tcW w:w="582" w:type="pct"/>
            <w:noWrap w:val="0"/>
            <w:vAlign w:val="center"/>
          </w:tcPr>
          <w:p w14:paraId="1C894459">
            <w:pPr>
              <w:spacing w:line="276" w:lineRule="auto"/>
              <w:jc w:val="center"/>
              <w:rPr>
                <w:rFonts w:cs="Arial Narrow"/>
                <w:color w:val="000000"/>
                <w:sz w:val="21"/>
                <w:szCs w:val="21"/>
              </w:rPr>
            </w:pPr>
            <w:r>
              <w:rPr>
                <w:rFonts w:cs="Arial Narrow"/>
                <w:color w:val="000000"/>
                <w:sz w:val="21"/>
                <w:szCs w:val="21"/>
              </w:rPr>
              <w:t>容器</w:t>
            </w:r>
          </w:p>
        </w:tc>
        <w:tc>
          <w:tcPr>
            <w:tcW w:w="813" w:type="pct"/>
            <w:noWrap w:val="0"/>
            <w:vAlign w:val="center"/>
          </w:tcPr>
          <w:p w14:paraId="7217AC53">
            <w:pPr>
              <w:spacing w:line="276" w:lineRule="auto"/>
              <w:jc w:val="center"/>
              <w:rPr>
                <w:rFonts w:cs="Arial Narrow"/>
                <w:color w:val="000000"/>
                <w:sz w:val="21"/>
                <w:szCs w:val="21"/>
              </w:rPr>
            </w:pPr>
            <w:r>
              <w:rPr>
                <w:rFonts w:cs="Arial Narrow"/>
                <w:color w:val="000000"/>
                <w:sz w:val="21"/>
                <w:szCs w:val="21"/>
              </w:rPr>
              <w:t>反应器</w:t>
            </w:r>
          </w:p>
        </w:tc>
        <w:tc>
          <w:tcPr>
            <w:tcW w:w="813" w:type="pct"/>
            <w:noWrap w:val="0"/>
            <w:vAlign w:val="center"/>
          </w:tcPr>
          <w:p w14:paraId="7664E63C">
            <w:pPr>
              <w:spacing w:line="276" w:lineRule="auto"/>
              <w:jc w:val="center"/>
              <w:rPr>
                <w:rFonts w:cs="Arial Narrow"/>
                <w:color w:val="000000"/>
                <w:sz w:val="21"/>
                <w:szCs w:val="21"/>
              </w:rPr>
            </w:pPr>
            <w:r>
              <w:rPr>
                <w:rFonts w:cs="Arial Narrow"/>
                <w:color w:val="000000"/>
                <w:sz w:val="21"/>
                <w:szCs w:val="21"/>
              </w:rPr>
              <w:t>塔器</w:t>
            </w:r>
          </w:p>
        </w:tc>
        <w:tc>
          <w:tcPr>
            <w:tcW w:w="813" w:type="pct"/>
            <w:noWrap w:val="0"/>
            <w:vAlign w:val="center"/>
          </w:tcPr>
          <w:p w14:paraId="419277CA">
            <w:pPr>
              <w:spacing w:line="276" w:lineRule="auto"/>
              <w:jc w:val="center"/>
              <w:rPr>
                <w:rFonts w:cs="Arial Narrow"/>
                <w:color w:val="000000"/>
                <w:sz w:val="21"/>
                <w:szCs w:val="21"/>
              </w:rPr>
            </w:pPr>
            <w:r>
              <w:rPr>
                <w:rFonts w:cs="Arial Narrow"/>
                <w:color w:val="000000"/>
                <w:sz w:val="21"/>
                <w:szCs w:val="21"/>
              </w:rPr>
              <w:t>换热器</w:t>
            </w:r>
          </w:p>
        </w:tc>
        <w:tc>
          <w:tcPr>
            <w:tcW w:w="813" w:type="pct"/>
            <w:noWrap w:val="0"/>
            <w:vAlign w:val="center"/>
          </w:tcPr>
          <w:p w14:paraId="44DF35CC">
            <w:pPr>
              <w:spacing w:line="276" w:lineRule="auto"/>
              <w:jc w:val="center"/>
              <w:rPr>
                <w:rFonts w:cs="Arial Narrow"/>
                <w:color w:val="000000"/>
                <w:sz w:val="21"/>
                <w:szCs w:val="21"/>
              </w:rPr>
            </w:pPr>
            <w:r>
              <w:rPr>
                <w:rFonts w:cs="Arial Narrow"/>
                <w:color w:val="000000"/>
                <w:sz w:val="21"/>
                <w:szCs w:val="21"/>
              </w:rPr>
              <w:t>容器合计</w:t>
            </w:r>
          </w:p>
        </w:tc>
      </w:tr>
      <w:tr w14:paraId="621B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pct"/>
            <w:noWrap w:val="0"/>
            <w:vAlign w:val="center"/>
          </w:tcPr>
          <w:p w14:paraId="27112D7F">
            <w:pPr>
              <w:spacing w:line="276" w:lineRule="auto"/>
              <w:jc w:val="center"/>
              <w:rPr>
                <w:rFonts w:hint="eastAsia" w:cs="Arial Narrow"/>
                <w:color w:val="000000"/>
                <w:sz w:val="21"/>
                <w:szCs w:val="21"/>
              </w:rPr>
            </w:pPr>
            <w:r>
              <w:rPr>
                <w:rFonts w:hint="eastAsia" w:cs="Arial Narrow"/>
                <w:color w:val="000000"/>
                <w:sz w:val="21"/>
                <w:szCs w:val="21"/>
              </w:rPr>
              <w:t>丙烷脱沥青</w:t>
            </w:r>
          </w:p>
        </w:tc>
        <w:tc>
          <w:tcPr>
            <w:tcW w:w="582" w:type="pct"/>
            <w:noWrap w:val="0"/>
            <w:vAlign w:val="center"/>
          </w:tcPr>
          <w:p w14:paraId="4191BD8C">
            <w:pPr>
              <w:spacing w:line="276" w:lineRule="auto"/>
              <w:jc w:val="center"/>
              <w:rPr>
                <w:rFonts w:cs="Arial Narrow"/>
                <w:color w:val="000000"/>
                <w:sz w:val="21"/>
                <w:szCs w:val="21"/>
              </w:rPr>
            </w:pPr>
            <w:r>
              <w:rPr>
                <w:rFonts w:hint="eastAsia" w:cs="Arial Narrow"/>
                <w:color w:val="000000"/>
                <w:sz w:val="21"/>
                <w:szCs w:val="21"/>
              </w:rPr>
              <w:t>19</w:t>
            </w:r>
          </w:p>
        </w:tc>
        <w:tc>
          <w:tcPr>
            <w:tcW w:w="813" w:type="pct"/>
            <w:noWrap w:val="0"/>
            <w:vAlign w:val="center"/>
          </w:tcPr>
          <w:p w14:paraId="7AFBE05F">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7D025BFF">
            <w:pPr>
              <w:spacing w:line="276" w:lineRule="auto"/>
              <w:jc w:val="center"/>
              <w:rPr>
                <w:rFonts w:hint="eastAsia" w:cs="Arial Narrow"/>
                <w:color w:val="000000"/>
                <w:sz w:val="21"/>
                <w:szCs w:val="21"/>
              </w:rPr>
            </w:pPr>
            <w:r>
              <w:rPr>
                <w:rFonts w:hint="eastAsia" w:cs="Arial Narrow"/>
                <w:color w:val="000000"/>
                <w:sz w:val="21"/>
                <w:szCs w:val="21"/>
              </w:rPr>
              <w:t>9</w:t>
            </w:r>
          </w:p>
        </w:tc>
        <w:tc>
          <w:tcPr>
            <w:tcW w:w="813" w:type="pct"/>
            <w:noWrap w:val="0"/>
            <w:vAlign w:val="center"/>
          </w:tcPr>
          <w:p w14:paraId="6B2F679D">
            <w:pPr>
              <w:spacing w:line="276" w:lineRule="auto"/>
              <w:jc w:val="center"/>
              <w:rPr>
                <w:rFonts w:cs="Arial Narrow"/>
                <w:color w:val="000000"/>
                <w:sz w:val="21"/>
                <w:szCs w:val="21"/>
              </w:rPr>
            </w:pPr>
            <w:r>
              <w:rPr>
                <w:rFonts w:hint="eastAsia" w:cs="Arial Narrow"/>
                <w:color w:val="000000"/>
                <w:sz w:val="21"/>
                <w:szCs w:val="21"/>
              </w:rPr>
              <w:t>32</w:t>
            </w:r>
          </w:p>
        </w:tc>
        <w:tc>
          <w:tcPr>
            <w:tcW w:w="813" w:type="pct"/>
            <w:noWrap w:val="0"/>
            <w:vAlign w:val="center"/>
          </w:tcPr>
          <w:p w14:paraId="3A9B5A66">
            <w:pPr>
              <w:spacing w:line="276" w:lineRule="auto"/>
              <w:jc w:val="center"/>
              <w:rPr>
                <w:rFonts w:cs="Arial Narrow"/>
                <w:color w:val="000000"/>
                <w:sz w:val="21"/>
                <w:szCs w:val="21"/>
              </w:rPr>
            </w:pPr>
            <w:r>
              <w:rPr>
                <w:rFonts w:hint="eastAsia" w:cs="Arial Narrow"/>
                <w:color w:val="000000"/>
                <w:sz w:val="21"/>
                <w:szCs w:val="21"/>
              </w:rPr>
              <w:t>60</w:t>
            </w:r>
          </w:p>
        </w:tc>
      </w:tr>
      <w:tr w14:paraId="4001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pct"/>
            <w:noWrap w:val="0"/>
            <w:vAlign w:val="center"/>
          </w:tcPr>
          <w:p w14:paraId="2C1AE906">
            <w:pPr>
              <w:spacing w:line="276" w:lineRule="auto"/>
              <w:jc w:val="center"/>
              <w:rPr>
                <w:rFonts w:cs="Arial Narrow"/>
                <w:color w:val="000000"/>
                <w:sz w:val="21"/>
                <w:szCs w:val="21"/>
              </w:rPr>
            </w:pPr>
            <w:r>
              <w:rPr>
                <w:rFonts w:hint="eastAsia" w:cs="Arial Narrow"/>
                <w:color w:val="000000"/>
                <w:sz w:val="21"/>
                <w:szCs w:val="21"/>
              </w:rPr>
              <w:t>2#柴油加氢</w:t>
            </w:r>
          </w:p>
        </w:tc>
        <w:tc>
          <w:tcPr>
            <w:tcW w:w="582" w:type="pct"/>
            <w:noWrap w:val="0"/>
            <w:vAlign w:val="center"/>
          </w:tcPr>
          <w:p w14:paraId="5A3C4F8D">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0585F452">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3ECD5E15">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13271ECA">
            <w:pPr>
              <w:spacing w:line="276" w:lineRule="auto"/>
              <w:jc w:val="center"/>
              <w:rPr>
                <w:rFonts w:hint="eastAsia" w:cs="Arial Narrow"/>
                <w:color w:val="000000"/>
                <w:sz w:val="21"/>
                <w:szCs w:val="21"/>
              </w:rPr>
            </w:pPr>
            <w:r>
              <w:rPr>
                <w:rFonts w:hint="eastAsia" w:cs="Arial Narrow"/>
                <w:color w:val="000000"/>
                <w:sz w:val="21"/>
                <w:szCs w:val="21"/>
              </w:rPr>
              <w:t>3</w:t>
            </w:r>
          </w:p>
        </w:tc>
        <w:tc>
          <w:tcPr>
            <w:tcW w:w="813" w:type="pct"/>
            <w:noWrap w:val="0"/>
            <w:vAlign w:val="center"/>
          </w:tcPr>
          <w:p w14:paraId="10B8935E">
            <w:pPr>
              <w:spacing w:line="276" w:lineRule="auto"/>
              <w:jc w:val="center"/>
              <w:rPr>
                <w:rFonts w:hint="eastAsia" w:cs="Arial Narrow"/>
                <w:color w:val="000000"/>
                <w:sz w:val="21"/>
                <w:szCs w:val="21"/>
              </w:rPr>
            </w:pPr>
            <w:r>
              <w:rPr>
                <w:rFonts w:hint="eastAsia" w:cs="Arial Narrow"/>
                <w:color w:val="000000"/>
                <w:sz w:val="21"/>
                <w:szCs w:val="21"/>
              </w:rPr>
              <w:t>3</w:t>
            </w:r>
          </w:p>
        </w:tc>
      </w:tr>
      <w:tr w14:paraId="6959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pct"/>
            <w:noWrap w:val="0"/>
            <w:vAlign w:val="center"/>
          </w:tcPr>
          <w:p w14:paraId="6C35B53E">
            <w:pPr>
              <w:spacing w:line="276" w:lineRule="auto"/>
              <w:jc w:val="center"/>
              <w:rPr>
                <w:rFonts w:cs="Arial Narrow"/>
                <w:color w:val="000000"/>
                <w:sz w:val="21"/>
                <w:szCs w:val="21"/>
              </w:rPr>
            </w:pPr>
            <w:r>
              <w:rPr>
                <w:rFonts w:hint="eastAsia" w:cs="Arial Narrow"/>
                <w:color w:val="000000"/>
                <w:sz w:val="21"/>
                <w:szCs w:val="21"/>
              </w:rPr>
              <w:t>2#高档白油加氢</w:t>
            </w:r>
          </w:p>
        </w:tc>
        <w:tc>
          <w:tcPr>
            <w:tcW w:w="582" w:type="pct"/>
            <w:noWrap w:val="0"/>
            <w:vAlign w:val="center"/>
          </w:tcPr>
          <w:p w14:paraId="4D9CCAC6">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0C930779">
            <w:pPr>
              <w:spacing w:line="276" w:lineRule="auto"/>
              <w:jc w:val="center"/>
              <w:rPr>
                <w:rFonts w:hint="eastAsia" w:cs="Arial Narrow"/>
                <w:color w:val="000000"/>
                <w:sz w:val="21"/>
                <w:szCs w:val="21"/>
              </w:rPr>
            </w:pPr>
            <w:r>
              <w:rPr>
                <w:rFonts w:hint="eastAsia" w:cs="Arial Narrow"/>
                <w:color w:val="000000"/>
                <w:sz w:val="21"/>
                <w:szCs w:val="21"/>
              </w:rPr>
              <w:t>4</w:t>
            </w:r>
          </w:p>
        </w:tc>
        <w:tc>
          <w:tcPr>
            <w:tcW w:w="813" w:type="pct"/>
            <w:noWrap w:val="0"/>
            <w:vAlign w:val="center"/>
          </w:tcPr>
          <w:p w14:paraId="201C45DA">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0A14340A">
            <w:pPr>
              <w:spacing w:line="276" w:lineRule="auto"/>
              <w:jc w:val="center"/>
              <w:rPr>
                <w:rFonts w:cs="Arial Narrow"/>
                <w:color w:val="000000"/>
                <w:sz w:val="21"/>
                <w:szCs w:val="21"/>
              </w:rPr>
            </w:pPr>
            <w:r>
              <w:rPr>
                <w:rFonts w:cs="Arial Narrow"/>
                <w:color w:val="000000"/>
                <w:sz w:val="21"/>
                <w:szCs w:val="21"/>
              </w:rPr>
              <w:t>0</w:t>
            </w:r>
          </w:p>
        </w:tc>
        <w:tc>
          <w:tcPr>
            <w:tcW w:w="813" w:type="pct"/>
            <w:noWrap w:val="0"/>
            <w:vAlign w:val="center"/>
          </w:tcPr>
          <w:p w14:paraId="744A786C">
            <w:pPr>
              <w:spacing w:line="276" w:lineRule="auto"/>
              <w:jc w:val="center"/>
              <w:rPr>
                <w:rFonts w:hint="eastAsia" w:cs="Arial Narrow"/>
                <w:color w:val="000000"/>
                <w:sz w:val="21"/>
                <w:szCs w:val="21"/>
              </w:rPr>
            </w:pPr>
            <w:r>
              <w:rPr>
                <w:rFonts w:hint="eastAsia" w:cs="Arial Narrow"/>
                <w:color w:val="000000"/>
                <w:sz w:val="21"/>
                <w:szCs w:val="21"/>
              </w:rPr>
              <w:t>4</w:t>
            </w:r>
          </w:p>
        </w:tc>
      </w:tr>
      <w:tr w14:paraId="17D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65" w:type="pct"/>
            <w:noWrap w:val="0"/>
            <w:vAlign w:val="center"/>
          </w:tcPr>
          <w:p w14:paraId="5C3C9835">
            <w:pPr>
              <w:spacing w:line="276" w:lineRule="auto"/>
              <w:jc w:val="center"/>
              <w:rPr>
                <w:rFonts w:cs="Arial Narrow"/>
                <w:color w:val="000000"/>
                <w:sz w:val="21"/>
                <w:szCs w:val="21"/>
              </w:rPr>
            </w:pPr>
            <w:r>
              <w:rPr>
                <w:rFonts w:cs="Arial Narrow"/>
                <w:color w:val="000000"/>
                <w:sz w:val="21"/>
                <w:szCs w:val="21"/>
              </w:rPr>
              <w:t>合计</w:t>
            </w:r>
          </w:p>
        </w:tc>
        <w:tc>
          <w:tcPr>
            <w:tcW w:w="582" w:type="pct"/>
            <w:noWrap w:val="0"/>
            <w:vAlign w:val="center"/>
          </w:tcPr>
          <w:p w14:paraId="59BF37F1">
            <w:pPr>
              <w:spacing w:line="276" w:lineRule="auto"/>
              <w:jc w:val="center"/>
              <w:rPr>
                <w:rFonts w:cs="Arial Narrow"/>
                <w:color w:val="000000"/>
                <w:sz w:val="21"/>
                <w:szCs w:val="21"/>
              </w:rPr>
            </w:pPr>
            <w:r>
              <w:rPr>
                <w:rFonts w:hint="eastAsia" w:cs="Arial Narrow"/>
                <w:color w:val="000000"/>
                <w:sz w:val="21"/>
                <w:szCs w:val="21"/>
              </w:rPr>
              <w:t>19</w:t>
            </w:r>
          </w:p>
        </w:tc>
        <w:tc>
          <w:tcPr>
            <w:tcW w:w="813" w:type="pct"/>
            <w:noWrap w:val="0"/>
            <w:vAlign w:val="center"/>
          </w:tcPr>
          <w:p w14:paraId="63BDFB0B">
            <w:pPr>
              <w:spacing w:line="276" w:lineRule="auto"/>
              <w:jc w:val="center"/>
              <w:rPr>
                <w:rFonts w:hint="eastAsia" w:cs="Arial Narrow"/>
                <w:color w:val="000000"/>
                <w:sz w:val="21"/>
                <w:szCs w:val="21"/>
              </w:rPr>
            </w:pPr>
            <w:r>
              <w:rPr>
                <w:rFonts w:hint="eastAsia" w:cs="Arial Narrow"/>
                <w:color w:val="000000"/>
                <w:sz w:val="21"/>
                <w:szCs w:val="21"/>
              </w:rPr>
              <w:t>4</w:t>
            </w:r>
          </w:p>
        </w:tc>
        <w:tc>
          <w:tcPr>
            <w:tcW w:w="813" w:type="pct"/>
            <w:noWrap w:val="0"/>
            <w:vAlign w:val="center"/>
          </w:tcPr>
          <w:p w14:paraId="3195CB0D">
            <w:pPr>
              <w:spacing w:line="276" w:lineRule="auto"/>
              <w:jc w:val="center"/>
              <w:rPr>
                <w:rFonts w:hint="eastAsia" w:cs="Arial Narrow"/>
                <w:color w:val="000000"/>
                <w:sz w:val="21"/>
                <w:szCs w:val="21"/>
              </w:rPr>
            </w:pPr>
            <w:r>
              <w:rPr>
                <w:rFonts w:hint="eastAsia" w:cs="Arial Narrow"/>
                <w:color w:val="000000"/>
                <w:sz w:val="21"/>
                <w:szCs w:val="21"/>
              </w:rPr>
              <w:t>9</w:t>
            </w:r>
          </w:p>
        </w:tc>
        <w:tc>
          <w:tcPr>
            <w:tcW w:w="813" w:type="pct"/>
            <w:noWrap w:val="0"/>
            <w:vAlign w:val="center"/>
          </w:tcPr>
          <w:p w14:paraId="7D7713A0">
            <w:pPr>
              <w:spacing w:line="276" w:lineRule="auto"/>
              <w:jc w:val="center"/>
              <w:rPr>
                <w:rFonts w:cs="Arial Narrow"/>
                <w:color w:val="000000"/>
                <w:sz w:val="21"/>
                <w:szCs w:val="21"/>
              </w:rPr>
            </w:pPr>
            <w:r>
              <w:rPr>
                <w:rFonts w:hint="eastAsia" w:cs="Arial Narrow"/>
                <w:color w:val="000000"/>
                <w:sz w:val="21"/>
                <w:szCs w:val="21"/>
              </w:rPr>
              <w:t>35</w:t>
            </w:r>
          </w:p>
        </w:tc>
        <w:tc>
          <w:tcPr>
            <w:tcW w:w="813" w:type="pct"/>
            <w:noWrap w:val="0"/>
            <w:vAlign w:val="center"/>
          </w:tcPr>
          <w:p w14:paraId="2565CC23">
            <w:pPr>
              <w:spacing w:line="276" w:lineRule="auto"/>
              <w:jc w:val="center"/>
              <w:rPr>
                <w:rFonts w:cs="Arial Narrow"/>
                <w:b/>
                <w:bCs/>
                <w:color w:val="000000"/>
                <w:sz w:val="21"/>
                <w:szCs w:val="21"/>
              </w:rPr>
            </w:pPr>
            <w:r>
              <w:rPr>
                <w:rFonts w:hint="eastAsia" w:cs="Arial Narrow"/>
                <w:b/>
                <w:bCs/>
                <w:color w:val="000000"/>
                <w:sz w:val="21"/>
                <w:szCs w:val="21"/>
              </w:rPr>
              <w:t>67</w:t>
            </w:r>
          </w:p>
        </w:tc>
      </w:tr>
      <w:bookmarkEnd w:id="63"/>
    </w:tbl>
    <w:p w14:paraId="64A280E3">
      <w:pPr>
        <w:pStyle w:val="3"/>
        <w:tabs>
          <w:tab w:val="clear" w:pos="480"/>
        </w:tabs>
        <w:spacing w:before="115" w:beforeLines="25" w:after="115" w:afterLines="25" w:line="240" w:lineRule="auto"/>
        <w:rPr>
          <w:rFonts w:ascii="Times New Roman" w:hAnsi="Times New Roman"/>
          <w:sz w:val="24"/>
        </w:rPr>
      </w:pPr>
      <w:bookmarkStart w:id="64" w:name="_Toc325294280"/>
      <w:bookmarkStart w:id="65" w:name="_Toc326850000"/>
      <w:bookmarkStart w:id="66" w:name="_Toc480551521"/>
      <w:bookmarkStart w:id="67" w:name="_Toc326585991"/>
      <w:bookmarkStart w:id="68" w:name="_Toc327251566"/>
      <w:bookmarkStart w:id="69" w:name="_Toc326808353"/>
      <w:bookmarkStart w:id="70" w:name="_Toc14597"/>
      <w:r>
        <w:rPr>
          <w:rFonts w:hint="eastAsia" w:ascii="Times New Roman" w:hAnsi="Times New Roman"/>
          <w:sz w:val="24"/>
        </w:rPr>
        <w:t>5</w:t>
      </w:r>
      <w:r>
        <w:rPr>
          <w:rFonts w:ascii="Times New Roman" w:hAnsi="Times New Roman"/>
          <w:sz w:val="24"/>
        </w:rPr>
        <w:t>.3</w:t>
      </w:r>
      <w:r>
        <w:rPr>
          <w:rFonts w:hint="eastAsia" w:ascii="Times New Roman" w:hAnsi="Times New Roman"/>
          <w:sz w:val="24"/>
          <w:szCs w:val="24"/>
        </w:rPr>
        <w:t xml:space="preserve"> </w:t>
      </w:r>
      <w:r>
        <w:rPr>
          <w:rFonts w:ascii="Times New Roman" w:hAnsi="Times New Roman"/>
          <w:sz w:val="24"/>
        </w:rPr>
        <w:t>装置腐蚀定性分析</w:t>
      </w:r>
      <w:bookmarkEnd w:id="64"/>
      <w:bookmarkEnd w:id="65"/>
      <w:bookmarkEnd w:id="66"/>
      <w:bookmarkEnd w:id="67"/>
      <w:bookmarkEnd w:id="68"/>
      <w:bookmarkEnd w:id="69"/>
      <w:bookmarkEnd w:id="70"/>
    </w:p>
    <w:p w14:paraId="534AC39F">
      <w:pPr>
        <w:snapToGrid w:val="0"/>
        <w:spacing w:line="240" w:lineRule="auto"/>
        <w:ind w:left="410" w:hanging="410" w:hangingChars="170"/>
        <w:rPr>
          <w:rFonts w:ascii="Times New Roman" w:hAnsi="Times New Roman"/>
          <w:b/>
          <w:bCs/>
        </w:rPr>
      </w:pPr>
      <w:r>
        <w:rPr>
          <w:rFonts w:ascii="Times New Roman" w:hAnsi="Times New Roman"/>
          <w:b/>
          <w:bCs/>
        </w:rPr>
        <w:t>说明：</w:t>
      </w:r>
    </w:p>
    <w:p w14:paraId="152DB1DD">
      <w:pPr>
        <w:spacing w:line="276" w:lineRule="auto"/>
        <w:ind w:firstLine="480" w:firstLineChars="200"/>
        <w:jc w:val="both"/>
        <w:rPr>
          <w:rFonts w:ascii="Times New Roman" w:hAnsi="Times New Roman"/>
          <w:bCs/>
        </w:rPr>
      </w:pPr>
      <w:r>
        <w:rPr>
          <w:rFonts w:ascii="Times New Roman" w:hAnsi="Times New Roman"/>
          <w:bCs/>
        </w:rPr>
        <w:t>腐蚀分析是RBI工作中的一个重要步骤，根据PHA</w:t>
      </w:r>
      <w:r>
        <w:rPr>
          <w:rFonts w:hint="eastAsia" w:ascii="Times New Roman" w:hAnsi="Times New Roman"/>
          <w:bCs/>
        </w:rPr>
        <w:t>（</w:t>
      </w:r>
      <w:r>
        <w:rPr>
          <w:rFonts w:ascii="Times New Roman" w:hAnsi="Times New Roman"/>
          <w:bCs/>
        </w:rPr>
        <w:t>工艺过程危害分析</w:t>
      </w:r>
      <w:r>
        <w:rPr>
          <w:rFonts w:hint="eastAsia" w:ascii="Times New Roman" w:hAnsi="Times New Roman"/>
          <w:bCs/>
        </w:rPr>
        <w:t>）</w:t>
      </w:r>
      <w:r>
        <w:rPr>
          <w:rFonts w:ascii="Times New Roman" w:hAnsi="Times New Roman"/>
          <w:bCs/>
        </w:rPr>
        <w:t>的概念，分析物料含哪些腐蚀介质，</w:t>
      </w:r>
      <w:r>
        <w:rPr>
          <w:rFonts w:hint="eastAsia" w:ascii="Times New Roman" w:hAnsi="Times New Roman"/>
          <w:bCs/>
        </w:rPr>
        <w:t>对腐蚀</w:t>
      </w:r>
      <w:r>
        <w:rPr>
          <w:rFonts w:ascii="Times New Roman" w:hAnsi="Times New Roman"/>
          <w:bCs/>
        </w:rPr>
        <w:t>介质对设备</w:t>
      </w:r>
      <w:r>
        <w:rPr>
          <w:rFonts w:hint="eastAsia" w:ascii="Times New Roman" w:hAnsi="Times New Roman"/>
          <w:bCs/>
        </w:rPr>
        <w:t>材料</w:t>
      </w:r>
      <w:r>
        <w:rPr>
          <w:rFonts w:ascii="Times New Roman" w:hAnsi="Times New Roman"/>
          <w:bCs/>
        </w:rPr>
        <w:t>可能的腐蚀机理做</w:t>
      </w:r>
      <w:r>
        <w:rPr>
          <w:rFonts w:hint="eastAsia" w:ascii="Times New Roman" w:hAnsi="Times New Roman"/>
          <w:bCs/>
        </w:rPr>
        <w:t>定性分析</w:t>
      </w:r>
      <w:r>
        <w:rPr>
          <w:rFonts w:ascii="Times New Roman" w:hAnsi="Times New Roman"/>
          <w:bCs/>
        </w:rPr>
        <w:t>。腐蚀分析尽可能找出有关的腐蚀机理，与定量分析软件结果的腐蚀机理对比。</w:t>
      </w:r>
    </w:p>
    <w:p w14:paraId="642AF6C3">
      <w:pPr>
        <w:spacing w:line="240" w:lineRule="auto"/>
        <w:rPr>
          <w:rFonts w:ascii="Times New Roman" w:hAnsi="Times New Roman"/>
          <w:b/>
        </w:rPr>
      </w:pPr>
      <w:r>
        <w:rPr>
          <w:rFonts w:hint="eastAsia" w:ascii="Times New Roman" w:hAnsi="Times New Roman"/>
          <w:b/>
        </w:rPr>
        <w:t>5</w:t>
      </w:r>
      <w:r>
        <w:rPr>
          <w:rFonts w:ascii="Times New Roman" w:hAnsi="Times New Roman"/>
          <w:b/>
        </w:rPr>
        <w:t>.3.1 损伤机理</w:t>
      </w:r>
    </w:p>
    <w:p w14:paraId="3BF079E7">
      <w:pPr>
        <w:spacing w:line="240" w:lineRule="auto"/>
        <w:ind w:firstLine="567"/>
        <w:jc w:val="both"/>
        <w:rPr>
          <w:rFonts w:ascii="Times New Roman" w:hAnsi="Times New Roman"/>
          <w:bCs/>
        </w:rPr>
      </w:pPr>
      <w:r>
        <w:rPr>
          <w:rFonts w:ascii="Times New Roman" w:hAnsi="Times New Roman"/>
          <w:bCs/>
        </w:rPr>
        <w:t>本次评估范围内</w:t>
      </w:r>
      <w:r>
        <w:rPr>
          <w:rFonts w:hint="eastAsia" w:ascii="Times New Roman" w:hAnsi="Times New Roman"/>
          <w:bCs/>
        </w:rPr>
        <w:t>，</w:t>
      </w:r>
      <w:r>
        <w:rPr>
          <w:rFonts w:ascii="Times New Roman" w:hAnsi="Times New Roman"/>
          <w:bCs/>
        </w:rPr>
        <w:t>主要的潜在损伤模式有：内部腐蚀减薄（包括均匀腐蚀减薄和局部腐蚀减薄）、环境开裂、</w:t>
      </w:r>
      <w:r>
        <w:rPr>
          <w:rFonts w:hint="eastAsia" w:ascii="Times New Roman" w:hAnsi="Times New Roman"/>
          <w:bCs/>
        </w:rPr>
        <w:t>机械损伤、</w:t>
      </w:r>
      <w:r>
        <w:rPr>
          <w:rFonts w:ascii="Times New Roman" w:hAnsi="Times New Roman"/>
          <w:bCs/>
        </w:rPr>
        <w:t>外部腐蚀。装置主要的损伤模式和损伤机理具体见表</w:t>
      </w:r>
      <w:r>
        <w:rPr>
          <w:rFonts w:hint="eastAsia" w:ascii="Times New Roman" w:hAnsi="Times New Roman"/>
          <w:bCs/>
        </w:rPr>
        <w:t>5</w:t>
      </w:r>
      <w:r>
        <w:rPr>
          <w:rFonts w:ascii="Times New Roman" w:hAnsi="Times New Roman"/>
          <w:bCs/>
        </w:rPr>
        <w:t>-2。</w:t>
      </w:r>
    </w:p>
    <w:p w14:paraId="40378246">
      <w:pPr>
        <w:pStyle w:val="83"/>
        <w:keepNext w:val="0"/>
        <w:keepLines w:val="0"/>
        <w:tabs>
          <w:tab w:val="clear" w:pos="-720"/>
        </w:tabs>
        <w:suppressAutoHyphens w:val="0"/>
        <w:spacing w:line="360" w:lineRule="auto"/>
        <w:ind w:firstLine="480" w:firstLineChars="200"/>
        <w:jc w:val="center"/>
        <w:rPr>
          <w:rFonts w:ascii="Times New Roman" w:hAnsi="Times New Roman"/>
          <w:szCs w:val="24"/>
          <w:lang w:eastAsia="zh-CN"/>
        </w:rPr>
      </w:pPr>
      <w:r>
        <w:rPr>
          <w:rFonts w:ascii="Times New Roman" w:hAnsi="Times New Roman"/>
          <w:szCs w:val="24"/>
          <w:lang w:eastAsia="zh-CN"/>
        </w:rPr>
        <w:t>表</w:t>
      </w:r>
      <w:r>
        <w:rPr>
          <w:rFonts w:hint="eastAsia" w:ascii="Times New Roman" w:hAnsi="Times New Roman"/>
          <w:szCs w:val="24"/>
          <w:lang w:eastAsia="zh-CN"/>
        </w:rPr>
        <w:t>5-2</w:t>
      </w:r>
      <w:r>
        <w:rPr>
          <w:rFonts w:ascii="Times New Roman" w:hAnsi="Times New Roman"/>
          <w:szCs w:val="24"/>
          <w:lang w:eastAsia="zh-CN"/>
        </w:rPr>
        <w:t xml:space="preserve"> </w:t>
      </w:r>
      <w:r>
        <w:rPr>
          <w:rFonts w:hint="eastAsia"/>
          <w:bCs/>
          <w:color w:val="000000"/>
          <w:lang w:eastAsia="zh-CN"/>
        </w:rPr>
        <w:t>本次评估范围</w:t>
      </w:r>
      <w:r>
        <w:rPr>
          <w:rFonts w:ascii="Times New Roman" w:hAnsi="Times New Roman"/>
          <w:szCs w:val="24"/>
          <w:lang w:eastAsia="zh-CN"/>
        </w:rPr>
        <w:t>主要潜在</w:t>
      </w:r>
      <w:r>
        <w:rPr>
          <w:rFonts w:hint="eastAsia" w:ascii="Times New Roman" w:hAnsi="Times New Roman"/>
          <w:szCs w:val="24"/>
          <w:lang w:eastAsia="zh-CN"/>
        </w:rPr>
        <w:t>损伤</w:t>
      </w:r>
      <w:r>
        <w:rPr>
          <w:rFonts w:ascii="Times New Roman" w:hAnsi="Times New Roman"/>
          <w:szCs w:val="24"/>
          <w:lang w:eastAsia="zh-CN"/>
        </w:rPr>
        <w:t>机理表</w:t>
      </w: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9"/>
        <w:gridCol w:w="5994"/>
      </w:tblGrid>
      <w:tr w14:paraId="3766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3" w:hRule="atLeast"/>
          <w:tblHeader/>
          <w:jc w:val="center"/>
        </w:trPr>
        <w:tc>
          <w:tcPr>
            <w:tcW w:w="1576" w:type="pct"/>
            <w:noWrap w:val="0"/>
            <w:vAlign w:val="center"/>
          </w:tcPr>
          <w:p w14:paraId="143A77BF">
            <w:pPr>
              <w:ind w:left="-120" w:leftChars="-50" w:right="-120" w:rightChars="-50"/>
              <w:jc w:val="center"/>
              <w:rPr>
                <w:rFonts w:cs="宋体"/>
                <w:b/>
                <w:kern w:val="0"/>
                <w:sz w:val="21"/>
                <w:szCs w:val="20"/>
              </w:rPr>
            </w:pPr>
            <w:r>
              <w:rPr>
                <w:rFonts w:cs="宋体"/>
                <w:b/>
                <w:kern w:val="0"/>
                <w:sz w:val="21"/>
                <w:szCs w:val="20"/>
              </w:rPr>
              <w:t>损伤类别</w:t>
            </w:r>
          </w:p>
        </w:tc>
        <w:tc>
          <w:tcPr>
            <w:tcW w:w="3423" w:type="pct"/>
            <w:noWrap w:val="0"/>
            <w:vAlign w:val="center"/>
          </w:tcPr>
          <w:p w14:paraId="699550E0">
            <w:pPr>
              <w:ind w:left="-120" w:leftChars="-50" w:right="-120" w:rightChars="-50"/>
              <w:jc w:val="center"/>
              <w:rPr>
                <w:rFonts w:cs="宋体"/>
                <w:b/>
                <w:kern w:val="0"/>
                <w:sz w:val="21"/>
                <w:szCs w:val="20"/>
              </w:rPr>
            </w:pPr>
            <w:r>
              <w:rPr>
                <w:rFonts w:cs="宋体"/>
                <w:b/>
                <w:kern w:val="0"/>
                <w:sz w:val="21"/>
                <w:szCs w:val="20"/>
              </w:rPr>
              <w:t>损伤机理</w:t>
            </w:r>
          </w:p>
        </w:tc>
      </w:tr>
      <w:tr w14:paraId="63BB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restart"/>
            <w:noWrap w:val="0"/>
            <w:vAlign w:val="center"/>
          </w:tcPr>
          <w:p w14:paraId="1CA30A80">
            <w:pPr>
              <w:ind w:left="-120" w:leftChars="-50" w:right="-120" w:rightChars="-50"/>
              <w:jc w:val="center"/>
              <w:rPr>
                <w:rFonts w:cs="宋体"/>
                <w:kern w:val="0"/>
                <w:sz w:val="21"/>
                <w:szCs w:val="20"/>
              </w:rPr>
            </w:pPr>
            <w:r>
              <w:rPr>
                <w:rFonts w:hint="eastAsia" w:cs="宋体"/>
                <w:kern w:val="0"/>
                <w:sz w:val="21"/>
                <w:szCs w:val="20"/>
              </w:rPr>
              <w:t>减薄</w:t>
            </w:r>
          </w:p>
        </w:tc>
        <w:tc>
          <w:tcPr>
            <w:tcW w:w="3423" w:type="pct"/>
            <w:noWrap w:val="0"/>
            <w:vAlign w:val="center"/>
          </w:tcPr>
          <w:p w14:paraId="6BDBCDFA">
            <w:pPr>
              <w:numPr>
                <w:ilvl w:val="0"/>
                <w:numId w:val="10"/>
              </w:numPr>
              <w:ind w:right="-120" w:rightChars="-50"/>
              <w:rPr>
                <w:rFonts w:cs="宋体"/>
                <w:kern w:val="0"/>
                <w:sz w:val="21"/>
                <w:szCs w:val="20"/>
              </w:rPr>
            </w:pPr>
            <w:r>
              <w:rPr>
                <w:rFonts w:hint="eastAsia" w:cs="宋体"/>
                <w:kern w:val="0"/>
                <w:sz w:val="21"/>
                <w:szCs w:val="20"/>
              </w:rPr>
              <w:t>高温硫腐蚀</w:t>
            </w:r>
          </w:p>
        </w:tc>
      </w:tr>
      <w:tr w14:paraId="09F2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0CB4CC18">
            <w:pPr>
              <w:ind w:left="-120" w:leftChars="-50" w:right="-120" w:rightChars="-50"/>
              <w:jc w:val="center"/>
              <w:rPr>
                <w:rFonts w:cs="宋体"/>
                <w:kern w:val="0"/>
                <w:sz w:val="21"/>
                <w:szCs w:val="20"/>
              </w:rPr>
            </w:pPr>
          </w:p>
        </w:tc>
        <w:tc>
          <w:tcPr>
            <w:tcW w:w="3423" w:type="pct"/>
            <w:noWrap w:val="0"/>
            <w:vAlign w:val="center"/>
          </w:tcPr>
          <w:p w14:paraId="0EE627FC">
            <w:pPr>
              <w:numPr>
                <w:ilvl w:val="0"/>
                <w:numId w:val="10"/>
              </w:numPr>
              <w:ind w:right="-120" w:rightChars="-50"/>
              <w:rPr>
                <w:rFonts w:cs="宋体"/>
                <w:kern w:val="0"/>
                <w:sz w:val="21"/>
                <w:szCs w:val="20"/>
              </w:rPr>
            </w:pPr>
            <w:r>
              <w:rPr>
                <w:rFonts w:hint="eastAsia" w:cs="宋体"/>
                <w:kern w:val="0"/>
                <w:sz w:val="21"/>
                <w:szCs w:val="20"/>
              </w:rPr>
              <w:t>环烷酸腐蚀</w:t>
            </w:r>
          </w:p>
        </w:tc>
      </w:tr>
      <w:tr w14:paraId="0454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03B83453">
            <w:pPr>
              <w:ind w:left="-120" w:leftChars="-50" w:right="-120" w:rightChars="-50"/>
              <w:jc w:val="center"/>
              <w:rPr>
                <w:rFonts w:cs="宋体"/>
                <w:kern w:val="0"/>
                <w:sz w:val="21"/>
                <w:szCs w:val="20"/>
              </w:rPr>
            </w:pPr>
          </w:p>
        </w:tc>
        <w:tc>
          <w:tcPr>
            <w:tcW w:w="3423" w:type="pct"/>
            <w:noWrap w:val="0"/>
            <w:vAlign w:val="center"/>
          </w:tcPr>
          <w:p w14:paraId="551398CF">
            <w:pPr>
              <w:numPr>
                <w:ilvl w:val="0"/>
                <w:numId w:val="10"/>
              </w:numPr>
              <w:ind w:right="-120" w:rightChars="-50"/>
              <w:rPr>
                <w:rFonts w:cs="宋体"/>
                <w:kern w:val="0"/>
                <w:sz w:val="21"/>
                <w:szCs w:val="20"/>
              </w:rPr>
            </w:pPr>
            <w:r>
              <w:rPr>
                <w:rFonts w:hint="eastAsia" w:cs="宋体"/>
                <w:kern w:val="0"/>
                <w:sz w:val="21"/>
                <w:szCs w:val="20"/>
              </w:rPr>
              <w:t>酸性水腐蚀</w:t>
            </w:r>
          </w:p>
        </w:tc>
      </w:tr>
      <w:tr w14:paraId="777F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3F1E0C51">
            <w:pPr>
              <w:ind w:left="-120" w:leftChars="-50" w:right="-120" w:rightChars="-50"/>
              <w:jc w:val="center"/>
              <w:rPr>
                <w:rFonts w:cs="宋体"/>
                <w:kern w:val="0"/>
                <w:sz w:val="21"/>
                <w:szCs w:val="20"/>
              </w:rPr>
            </w:pPr>
          </w:p>
        </w:tc>
        <w:tc>
          <w:tcPr>
            <w:tcW w:w="3423" w:type="pct"/>
            <w:noWrap w:val="0"/>
            <w:vAlign w:val="center"/>
          </w:tcPr>
          <w:p w14:paraId="6B83EDDB">
            <w:pPr>
              <w:numPr>
                <w:ilvl w:val="0"/>
                <w:numId w:val="10"/>
              </w:numPr>
              <w:ind w:right="-120" w:rightChars="-50"/>
              <w:rPr>
                <w:rFonts w:hint="eastAsia" w:cs="宋体"/>
                <w:kern w:val="0"/>
                <w:sz w:val="21"/>
                <w:szCs w:val="20"/>
              </w:rPr>
            </w:pPr>
            <w:r>
              <w:rPr>
                <w:rFonts w:hint="eastAsia" w:cs="宋体"/>
                <w:kern w:val="0"/>
                <w:sz w:val="21"/>
                <w:szCs w:val="20"/>
              </w:rPr>
              <w:t>高温硫化氢/氢腐蚀</w:t>
            </w:r>
          </w:p>
        </w:tc>
      </w:tr>
      <w:tr w14:paraId="13A6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10AA3E82">
            <w:pPr>
              <w:ind w:left="-120" w:leftChars="-50" w:right="-120" w:rightChars="-50"/>
              <w:jc w:val="center"/>
              <w:rPr>
                <w:rFonts w:cs="宋体"/>
                <w:kern w:val="0"/>
                <w:sz w:val="21"/>
                <w:szCs w:val="20"/>
              </w:rPr>
            </w:pPr>
          </w:p>
        </w:tc>
        <w:tc>
          <w:tcPr>
            <w:tcW w:w="3423" w:type="pct"/>
            <w:noWrap w:val="0"/>
            <w:vAlign w:val="center"/>
          </w:tcPr>
          <w:p w14:paraId="2D656D72">
            <w:pPr>
              <w:numPr>
                <w:ilvl w:val="0"/>
                <w:numId w:val="10"/>
              </w:numPr>
              <w:ind w:right="-120" w:rightChars="-50"/>
              <w:rPr>
                <w:rFonts w:cs="宋体"/>
                <w:kern w:val="0"/>
                <w:sz w:val="21"/>
                <w:szCs w:val="20"/>
              </w:rPr>
            </w:pPr>
            <w:r>
              <w:rPr>
                <w:rFonts w:hint="eastAsia" w:cs="宋体"/>
                <w:kern w:val="0"/>
                <w:sz w:val="21"/>
                <w:szCs w:val="20"/>
              </w:rPr>
              <w:t>酸性水腐蚀</w:t>
            </w:r>
          </w:p>
        </w:tc>
      </w:tr>
      <w:tr w14:paraId="3E02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restart"/>
            <w:noWrap w:val="0"/>
            <w:vAlign w:val="center"/>
          </w:tcPr>
          <w:p w14:paraId="326E2DDC">
            <w:pPr>
              <w:ind w:left="-120" w:leftChars="-50" w:right="-120" w:rightChars="-50"/>
              <w:jc w:val="center"/>
              <w:rPr>
                <w:rFonts w:cs="宋体"/>
                <w:kern w:val="0"/>
                <w:sz w:val="21"/>
                <w:szCs w:val="20"/>
              </w:rPr>
            </w:pPr>
            <w:r>
              <w:rPr>
                <w:rFonts w:hint="eastAsia" w:cs="宋体"/>
                <w:kern w:val="0"/>
                <w:sz w:val="21"/>
                <w:szCs w:val="20"/>
              </w:rPr>
              <w:t>环境开裂</w:t>
            </w:r>
          </w:p>
        </w:tc>
        <w:tc>
          <w:tcPr>
            <w:tcW w:w="3423" w:type="pct"/>
            <w:noWrap w:val="0"/>
            <w:vAlign w:val="center"/>
          </w:tcPr>
          <w:p w14:paraId="7EF04DBF">
            <w:pPr>
              <w:numPr>
                <w:ilvl w:val="0"/>
                <w:numId w:val="10"/>
              </w:numPr>
              <w:ind w:right="-120" w:rightChars="-50"/>
              <w:rPr>
                <w:rFonts w:cs="宋体"/>
                <w:kern w:val="0"/>
                <w:sz w:val="21"/>
                <w:szCs w:val="20"/>
              </w:rPr>
            </w:pPr>
            <w:r>
              <w:rPr>
                <w:rFonts w:hint="eastAsia" w:cs="宋体"/>
                <w:kern w:val="0"/>
                <w:sz w:val="21"/>
                <w:szCs w:val="20"/>
              </w:rPr>
              <w:t>湿硫化氢破坏</w:t>
            </w:r>
          </w:p>
        </w:tc>
      </w:tr>
      <w:tr w14:paraId="14B6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5D904CD3">
            <w:pPr>
              <w:ind w:left="-120" w:leftChars="-50" w:right="-120" w:rightChars="-50"/>
              <w:jc w:val="center"/>
              <w:rPr>
                <w:rFonts w:cs="宋体"/>
                <w:kern w:val="0"/>
                <w:sz w:val="21"/>
                <w:szCs w:val="20"/>
              </w:rPr>
            </w:pPr>
          </w:p>
        </w:tc>
        <w:tc>
          <w:tcPr>
            <w:tcW w:w="3423" w:type="pct"/>
            <w:noWrap w:val="0"/>
            <w:vAlign w:val="center"/>
          </w:tcPr>
          <w:p w14:paraId="34D19AC4">
            <w:pPr>
              <w:numPr>
                <w:ilvl w:val="0"/>
                <w:numId w:val="10"/>
              </w:numPr>
              <w:ind w:right="-120" w:rightChars="-50"/>
              <w:rPr>
                <w:rFonts w:cs="宋体"/>
                <w:kern w:val="0"/>
                <w:sz w:val="21"/>
                <w:szCs w:val="20"/>
              </w:rPr>
            </w:pPr>
            <w:r>
              <w:rPr>
                <w:rFonts w:hint="eastAsia" w:cs="宋体"/>
                <w:kern w:val="0"/>
                <w:sz w:val="21"/>
                <w:szCs w:val="20"/>
              </w:rPr>
              <w:t>氯化物应力腐蚀开裂</w:t>
            </w:r>
          </w:p>
        </w:tc>
      </w:tr>
      <w:tr w14:paraId="5B60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4FD19C50">
            <w:pPr>
              <w:ind w:left="-120" w:leftChars="-50" w:right="-120" w:rightChars="-50"/>
              <w:jc w:val="center"/>
              <w:rPr>
                <w:rFonts w:cs="宋体"/>
                <w:kern w:val="0"/>
                <w:sz w:val="21"/>
                <w:szCs w:val="20"/>
              </w:rPr>
            </w:pPr>
          </w:p>
        </w:tc>
        <w:tc>
          <w:tcPr>
            <w:tcW w:w="3423" w:type="pct"/>
            <w:noWrap w:val="0"/>
            <w:vAlign w:val="center"/>
          </w:tcPr>
          <w:p w14:paraId="325B3BD7">
            <w:pPr>
              <w:numPr>
                <w:ilvl w:val="0"/>
                <w:numId w:val="10"/>
              </w:numPr>
              <w:ind w:right="-120" w:rightChars="-50"/>
              <w:rPr>
                <w:rFonts w:cs="宋体"/>
                <w:kern w:val="0"/>
                <w:sz w:val="21"/>
                <w:szCs w:val="20"/>
              </w:rPr>
            </w:pPr>
            <w:r>
              <w:rPr>
                <w:rFonts w:hint="eastAsia" w:cs="宋体"/>
                <w:kern w:val="0"/>
                <w:sz w:val="21"/>
                <w:szCs w:val="20"/>
              </w:rPr>
              <w:t>连多硫酸应力腐蚀开裂</w:t>
            </w:r>
          </w:p>
        </w:tc>
      </w:tr>
      <w:tr w14:paraId="2698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restart"/>
            <w:noWrap w:val="0"/>
            <w:vAlign w:val="center"/>
          </w:tcPr>
          <w:p w14:paraId="295646C9">
            <w:pPr>
              <w:ind w:left="-120" w:leftChars="-50" w:right="-120" w:rightChars="-50"/>
              <w:jc w:val="center"/>
              <w:rPr>
                <w:rFonts w:cs="宋体"/>
                <w:kern w:val="0"/>
                <w:sz w:val="21"/>
                <w:szCs w:val="20"/>
              </w:rPr>
            </w:pPr>
            <w:r>
              <w:rPr>
                <w:rFonts w:hint="eastAsia" w:cs="宋体"/>
                <w:kern w:val="0"/>
                <w:sz w:val="21"/>
                <w:szCs w:val="20"/>
              </w:rPr>
              <w:t>材质裂化</w:t>
            </w:r>
          </w:p>
        </w:tc>
        <w:tc>
          <w:tcPr>
            <w:tcW w:w="3423" w:type="pct"/>
            <w:noWrap w:val="0"/>
            <w:vAlign w:val="center"/>
          </w:tcPr>
          <w:p w14:paraId="15BE0D71">
            <w:pPr>
              <w:numPr>
                <w:ilvl w:val="0"/>
                <w:numId w:val="10"/>
              </w:numPr>
              <w:ind w:right="-120" w:rightChars="-50"/>
              <w:rPr>
                <w:rFonts w:hint="eastAsia" w:cs="宋体"/>
                <w:kern w:val="0"/>
                <w:sz w:val="21"/>
                <w:szCs w:val="20"/>
              </w:rPr>
            </w:pPr>
            <w:r>
              <w:rPr>
                <w:rFonts w:hint="eastAsia" w:cs="宋体"/>
                <w:kern w:val="0"/>
                <w:sz w:val="21"/>
                <w:szCs w:val="20"/>
              </w:rPr>
              <w:t>氢脆</w:t>
            </w:r>
          </w:p>
        </w:tc>
      </w:tr>
      <w:tr w14:paraId="4582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continue"/>
            <w:noWrap w:val="0"/>
            <w:vAlign w:val="center"/>
          </w:tcPr>
          <w:p w14:paraId="445F713D">
            <w:pPr>
              <w:ind w:left="-120" w:leftChars="-50" w:right="-120" w:rightChars="-50"/>
              <w:jc w:val="center"/>
              <w:rPr>
                <w:rFonts w:hint="eastAsia" w:cs="宋体"/>
                <w:kern w:val="0"/>
                <w:sz w:val="21"/>
                <w:szCs w:val="20"/>
              </w:rPr>
            </w:pPr>
          </w:p>
        </w:tc>
        <w:tc>
          <w:tcPr>
            <w:tcW w:w="3423" w:type="pct"/>
            <w:noWrap w:val="0"/>
            <w:vAlign w:val="center"/>
          </w:tcPr>
          <w:p w14:paraId="6AF4B348">
            <w:pPr>
              <w:numPr>
                <w:ilvl w:val="0"/>
                <w:numId w:val="10"/>
              </w:numPr>
              <w:ind w:right="-120" w:rightChars="-50"/>
              <w:rPr>
                <w:rFonts w:hint="eastAsia" w:cs="宋体"/>
                <w:kern w:val="0"/>
                <w:sz w:val="21"/>
                <w:szCs w:val="20"/>
              </w:rPr>
            </w:pPr>
            <w:r>
              <w:rPr>
                <w:rFonts w:hint="eastAsia" w:cs="宋体"/>
                <w:kern w:val="0"/>
                <w:sz w:val="21"/>
                <w:szCs w:val="20"/>
              </w:rPr>
              <w:t>高温氢损伤</w:t>
            </w:r>
          </w:p>
        </w:tc>
      </w:tr>
      <w:tr w14:paraId="70C0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jc w:val="center"/>
        </w:trPr>
        <w:tc>
          <w:tcPr>
            <w:tcW w:w="1576" w:type="pct"/>
            <w:vMerge w:val="restart"/>
            <w:noWrap w:val="0"/>
            <w:vAlign w:val="center"/>
          </w:tcPr>
          <w:p w14:paraId="4ED8E986">
            <w:pPr>
              <w:ind w:left="-120" w:leftChars="-50" w:right="-120" w:rightChars="-50"/>
              <w:jc w:val="center"/>
              <w:rPr>
                <w:rFonts w:cs="宋体"/>
                <w:kern w:val="0"/>
                <w:sz w:val="21"/>
                <w:szCs w:val="20"/>
              </w:rPr>
            </w:pPr>
            <w:r>
              <w:rPr>
                <w:rFonts w:hint="eastAsia" w:cs="宋体"/>
                <w:kern w:val="0"/>
                <w:sz w:val="21"/>
                <w:szCs w:val="20"/>
              </w:rPr>
              <w:t>外部腐蚀</w:t>
            </w:r>
          </w:p>
        </w:tc>
        <w:tc>
          <w:tcPr>
            <w:tcW w:w="3423" w:type="pct"/>
            <w:noWrap w:val="0"/>
            <w:vAlign w:val="center"/>
          </w:tcPr>
          <w:p w14:paraId="19A69996">
            <w:pPr>
              <w:numPr>
                <w:ilvl w:val="0"/>
                <w:numId w:val="10"/>
              </w:numPr>
              <w:ind w:right="-120" w:rightChars="-50"/>
              <w:rPr>
                <w:rFonts w:cs="宋体"/>
                <w:kern w:val="0"/>
                <w:sz w:val="21"/>
                <w:szCs w:val="20"/>
              </w:rPr>
            </w:pPr>
            <w:r>
              <w:rPr>
                <w:rFonts w:hint="eastAsia" w:cs="宋体"/>
                <w:kern w:val="0"/>
                <w:sz w:val="21"/>
                <w:szCs w:val="20"/>
              </w:rPr>
              <w:t>保温层下腐蚀</w:t>
            </w:r>
          </w:p>
        </w:tc>
      </w:tr>
      <w:tr w14:paraId="3911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1576" w:type="pct"/>
            <w:vMerge w:val="continue"/>
            <w:noWrap w:val="0"/>
            <w:vAlign w:val="center"/>
          </w:tcPr>
          <w:p w14:paraId="2526D60C">
            <w:pPr>
              <w:ind w:left="-120" w:leftChars="-50" w:right="-120" w:rightChars="-50"/>
              <w:rPr>
                <w:rFonts w:cs="宋体"/>
                <w:kern w:val="0"/>
                <w:sz w:val="21"/>
                <w:szCs w:val="20"/>
              </w:rPr>
            </w:pPr>
          </w:p>
        </w:tc>
        <w:tc>
          <w:tcPr>
            <w:tcW w:w="3423" w:type="pct"/>
            <w:noWrap w:val="0"/>
            <w:vAlign w:val="center"/>
          </w:tcPr>
          <w:p w14:paraId="675D2A47">
            <w:pPr>
              <w:numPr>
                <w:ilvl w:val="0"/>
                <w:numId w:val="10"/>
              </w:numPr>
              <w:spacing w:line="240" w:lineRule="exact"/>
              <w:ind w:right="-120" w:rightChars="-50"/>
              <w:rPr>
                <w:rFonts w:cs="宋体"/>
                <w:kern w:val="0"/>
                <w:sz w:val="21"/>
                <w:szCs w:val="20"/>
              </w:rPr>
            </w:pPr>
            <w:r>
              <w:rPr>
                <w:rFonts w:hint="eastAsia" w:cs="宋体"/>
                <w:kern w:val="0"/>
                <w:sz w:val="21"/>
                <w:szCs w:val="20"/>
              </w:rPr>
              <w:t>大气腐蚀</w:t>
            </w:r>
          </w:p>
        </w:tc>
      </w:tr>
    </w:tbl>
    <w:p w14:paraId="2EC62465">
      <w:pPr>
        <w:numPr>
          <w:ilvl w:val="0"/>
          <w:numId w:val="11"/>
        </w:numPr>
        <w:spacing w:line="240" w:lineRule="auto"/>
        <w:ind w:left="0" w:firstLine="480" w:firstLineChars="200"/>
      </w:pPr>
      <w:r>
        <w:rPr>
          <w:rFonts w:hint="eastAsia"/>
        </w:rPr>
        <w:t>高温硫腐蚀</w:t>
      </w:r>
    </w:p>
    <w:p w14:paraId="3E698B84">
      <w:pPr>
        <w:spacing w:line="240" w:lineRule="auto"/>
        <w:ind w:firstLine="480" w:firstLineChars="200"/>
        <w:jc w:val="both"/>
      </w:pPr>
      <w:r>
        <w:rPr>
          <w:rFonts w:hint="eastAsia"/>
        </w:rPr>
        <w:t>高温硫腐蚀是碳钢或其他合金在高温下与硫化物反应发生的腐蚀。多为均匀腐蚀，有时表现为局部腐蚀，高流速部位会形成冲蚀；腐蚀发生后部件表面多覆盖有硫化物膜，有的膜很厚，有的很薄，厚度跟材质、流体腐蚀性、流速和是否有杂质有关。</w:t>
      </w:r>
    </w:p>
    <w:p w14:paraId="5B2E9521">
      <w:pPr>
        <w:spacing w:line="240" w:lineRule="auto"/>
        <w:ind w:firstLine="480" w:firstLineChars="200"/>
        <w:jc w:val="both"/>
      </w:pPr>
      <w:r>
        <w:rPr>
          <w:rFonts w:hint="eastAsia"/>
        </w:rPr>
        <w:t>主要影响因素包括：a）合金元素：耐硫化物腐蚀性能，取决于反应产生的硫化物膜保护能力。一般而言，钢材和镍基合金随铬元素含量升高，耐硫化物腐蚀能力增强。300系列不锈钢，如304、316、321和347，在多数炼油工艺中耐高温硫化物腐蚀能力较强。镍基合金与不锈钢相似，铬含量相近的镍基合金其抗硫化物腐蚀能力也相似；b）温度：通常在铁基合金温度超过260℃时开始发生高温硫化物腐蚀，温度越高，腐蚀越快；c）硫含量：原油、煤和其他烃类物料含有不同浓度的硫，总硫含量也是指不同的含硫化合物中硫的总和。由于物料中的硫腐蚀是指在高温下能发生热分解产生硫化氢的硫化物和其他活性硫化物引起的腐蚀，考虑到一些硫化物相对更容易反应生成硫化氢，故介质的腐蚀能力与其总硫含量不完全对应；d）腐蚀产物膜：反应产生的硫化物保护膜可以提供不同程度的防护效果，保护膜的防护能力除受合金成分影响外，还跟介质腐蚀性有关。</w:t>
      </w:r>
    </w:p>
    <w:p w14:paraId="36D37C30">
      <w:pPr>
        <w:numPr>
          <w:ilvl w:val="0"/>
          <w:numId w:val="11"/>
        </w:numPr>
        <w:spacing w:line="240" w:lineRule="auto"/>
        <w:ind w:left="0" w:firstLine="480" w:firstLineChars="200"/>
      </w:pPr>
      <w:r>
        <w:rPr>
          <w:rFonts w:hint="eastAsia"/>
        </w:rPr>
        <w:t>环烷酸腐蚀</w:t>
      </w:r>
    </w:p>
    <w:p w14:paraId="134ED6D8">
      <w:pPr>
        <w:spacing w:line="240" w:lineRule="auto"/>
        <w:ind w:firstLine="480" w:firstLineChars="200"/>
        <w:jc w:val="both"/>
      </w:pPr>
      <w:r>
        <w:rPr>
          <w:rFonts w:hint="eastAsia"/>
          <w:bCs/>
        </w:rPr>
        <w:t>环烷酸是一类含有饱和环状结构和一个或多个羧基的有机酸的总称。虽然这些酸在分子量上有显著差异，但它们的通式可用R(CH</w:t>
      </w:r>
      <w:r>
        <w:rPr>
          <w:rFonts w:hint="eastAsia"/>
          <w:bCs/>
          <w:vertAlign w:val="subscript"/>
        </w:rPr>
        <w:t>2</w:t>
      </w:r>
      <w:r>
        <w:rPr>
          <w:rFonts w:hint="eastAsia"/>
          <w:bCs/>
        </w:rPr>
        <w:t>)COOH表示，式中R通常指环戊基或环己基。环烷酸是石油中有机酸的主要组分，占有机酸总量的50%以上。环烷酸可与金属裸露表面直接反应生成环烷酸铁，而不需要水的参与。环烷酸铁盐可溶于油中，腐蚀表面不易成膜，由于表面不生成积垢，腐蚀后形成轮廓清晰的蚀坑或流线状槽纹。</w:t>
      </w:r>
    </w:p>
    <w:p w14:paraId="18DA7BB6">
      <w:pPr>
        <w:spacing w:line="240" w:lineRule="auto"/>
        <w:ind w:firstLine="480" w:firstLineChars="200"/>
        <w:jc w:val="both"/>
        <w:rPr>
          <w:rFonts w:cs="宋体"/>
        </w:rPr>
      </w:pPr>
      <w:r>
        <w:rPr>
          <w:rFonts w:hint="eastAsia"/>
        </w:rPr>
        <w:t>主要影响因素包括：a）酸值</w:t>
      </w:r>
      <w:r>
        <w:rPr>
          <w:rFonts w:cs="宋体"/>
        </w:rPr>
        <w:t>：</w:t>
      </w:r>
      <w:r>
        <w:rPr>
          <w:rFonts w:hint="eastAsia" w:cs="宋体"/>
        </w:rPr>
        <w:t>腐蚀速率随烃相酸值增加而增大；b）温度：当烃相介质的温度在2</w:t>
      </w:r>
      <w:r>
        <w:rPr>
          <w:rFonts w:cs="宋体"/>
        </w:rPr>
        <w:t>18</w:t>
      </w:r>
      <w:r>
        <w:rPr>
          <w:rFonts w:hint="eastAsia"/>
        </w:rPr>
        <w:t>℃~</w:t>
      </w:r>
      <w:r>
        <w:t>400</w:t>
      </w:r>
      <w:r>
        <w:rPr>
          <w:rFonts w:hint="eastAsia"/>
        </w:rPr>
        <w:t>℃范围内，腐蚀较为常见，且随温度的升高，腐蚀速率增大</w:t>
      </w:r>
      <w:r>
        <w:rPr>
          <w:rFonts w:hint="eastAsia" w:cs="宋体"/>
        </w:rPr>
        <w:t>；c）硫含量：烃相中的硫可能与钢材发生反应生成硫化亚铁保护膜，从而减缓环烷酸的腐蚀；d）流速：随流速增高，腐蚀速率会增大。e）</w:t>
      </w:r>
      <w:r>
        <w:rPr>
          <w:rFonts w:hint="eastAsia"/>
        </w:rPr>
        <w:t>相态</w:t>
      </w:r>
      <w:r>
        <w:rPr>
          <w:rFonts w:cs="宋体"/>
        </w:rPr>
        <w:t>：</w:t>
      </w:r>
      <w:r>
        <w:rPr>
          <w:rFonts w:hint="eastAsia" w:cs="宋体"/>
        </w:rPr>
        <w:t>两相流、湍流区等部位腐蚀严重；f）</w:t>
      </w:r>
      <w:r>
        <w:rPr>
          <w:rFonts w:hint="eastAsia"/>
        </w:rPr>
        <w:t>材料</w:t>
      </w:r>
      <w:r>
        <w:rPr>
          <w:rFonts w:cs="宋体"/>
        </w:rPr>
        <w:t>：</w:t>
      </w:r>
      <w:r>
        <w:rPr>
          <w:rFonts w:hint="eastAsia" w:cs="宋体"/>
        </w:rPr>
        <w:t>合金中钼元素可以提高耐蚀性，钼元素的含量下限为2</w:t>
      </w:r>
      <w:r>
        <w:rPr>
          <w:rFonts w:cs="宋体"/>
        </w:rPr>
        <w:t>.5</w:t>
      </w:r>
      <w:r>
        <w:rPr>
          <w:rFonts w:hint="eastAsia" w:cs="宋体"/>
        </w:rPr>
        <w:t>%（质量分数）。</w:t>
      </w:r>
    </w:p>
    <w:p w14:paraId="0429F4A1">
      <w:pPr>
        <w:numPr>
          <w:ilvl w:val="0"/>
          <w:numId w:val="11"/>
        </w:numPr>
        <w:spacing w:line="240" w:lineRule="auto"/>
        <w:ind w:left="0" w:firstLine="480" w:firstLineChars="200"/>
      </w:pPr>
      <w:r>
        <w:rPr>
          <w:rFonts w:hint="eastAsia"/>
        </w:rPr>
        <w:t>酸性水腐蚀</w:t>
      </w:r>
    </w:p>
    <w:p w14:paraId="649B0670">
      <w:pPr>
        <w:spacing w:line="240" w:lineRule="auto"/>
        <w:ind w:firstLine="480" w:firstLineChars="200"/>
        <w:jc w:val="both"/>
      </w:pPr>
      <w:r>
        <w:rPr>
          <w:rFonts w:hint="eastAsia"/>
        </w:rPr>
        <w:t>酸性水腐蚀是金属材料在存在硫氢化铵（NH</w:t>
      </w:r>
      <w:r>
        <w:rPr>
          <w:rFonts w:hint="eastAsia"/>
          <w:vertAlign w:val="subscript"/>
        </w:rPr>
        <w:t>4</w:t>
      </w:r>
      <w:r>
        <w:rPr>
          <w:rFonts w:hint="eastAsia"/>
        </w:rPr>
        <w:t>HS）的酸性水中发生的腐蚀。介质流动方向发生改变的部位，或硫氢化铵浓度超过2%（质量分数）的紊流区，易形成严重局部腐蚀；介质注水不足以溶解析出硫氢化铵时，低流速区可能出现结垢，发生垢下局部腐蚀。热交换器管束发生结垢时，还可能出现堵塞和换热效率降低等情况。</w:t>
      </w:r>
    </w:p>
    <w:p w14:paraId="3A6EA061">
      <w:pPr>
        <w:spacing w:line="240" w:lineRule="auto"/>
        <w:ind w:firstLine="480" w:firstLineChars="200"/>
        <w:jc w:val="both"/>
        <w:rPr>
          <w:rFonts w:hint="eastAsia"/>
        </w:rPr>
      </w:pPr>
      <w:r>
        <w:rPr>
          <w:rFonts w:hint="eastAsia"/>
        </w:rPr>
        <w:t>主要影响因素包括：a) pH值：pH值接近中性时腐蚀性较低；b）浓度：随着硫氢化铵浓度升高，腐蚀速率增大。硫氢化铵浓度低于2%（质量分数）时几乎无腐蚀性；浓度超过2%（质量分数）时，腐蚀性越来越强；c）流速：随着硫氢化铵流速加快，腐蚀速率增大。低流速区易发生硫氢化铵结垢，并出现垢下腐蚀。而高流速区，尤其是出现紊流时，易发生冲蚀；d）紊流状态：紊流区易发生腐蚀；e）温度：温度低于66℃时，加氢反应器的气相中可能会析出硫氢化铵，如果没有注水冲洗掉，就会引起积垢和堵塞；f）杂质：注入加氢反应器反应产物出料系统的洗涤水中，如果含有氧元素和铁元素，可导致腐蚀加剧和积垢增多。氰化物存在时，也会破坏硫化物保护膜，导致腐蚀严重；g）合金成分：碳钢耐腐蚀能力较差，300系列不锈钢、双相不锈钢、铝合金和镍基合金具有较强的耐腐蚀性。</w:t>
      </w:r>
    </w:p>
    <w:p w14:paraId="3137E032">
      <w:pPr>
        <w:numPr>
          <w:ilvl w:val="0"/>
          <w:numId w:val="11"/>
        </w:numPr>
        <w:spacing w:line="240" w:lineRule="auto"/>
        <w:ind w:left="0" w:firstLine="480" w:firstLineChars="200"/>
        <w:rPr>
          <w:rFonts w:hint="eastAsia"/>
        </w:rPr>
      </w:pPr>
      <w:r>
        <w:rPr>
          <w:rFonts w:hint="eastAsia"/>
        </w:rPr>
        <w:t>高温硫化氢/氢腐蚀</w:t>
      </w:r>
    </w:p>
    <w:p w14:paraId="79289E33">
      <w:pPr>
        <w:spacing w:line="240" w:lineRule="auto"/>
        <w:ind w:firstLine="480" w:firstLineChars="200"/>
        <w:jc w:val="both"/>
        <w:rPr>
          <w:rFonts w:hint="eastAsia"/>
        </w:rPr>
      </w:pPr>
      <w:r>
        <w:rPr>
          <w:rFonts w:hint="eastAsia"/>
        </w:rPr>
        <w:t>高温硫化氢/氢腐蚀是碳钢或低合金钢等在高温且临氢条件下与硫化物反应发生的腐蚀，即氢的存在加速了高温硫化物的腐蚀。通常表现为均匀腐蚀，同时生成硫化亚铁锈皮，厚度大约是被腐蚀掉金属体积的5倍，并可能形成多层锈皮结构；金属表面的锈皮粘合牢固，且有灰色光泽，易被误认为是没有发生腐蚀的金属基体。</w:t>
      </w:r>
    </w:p>
    <w:p w14:paraId="7B3FC6FC">
      <w:pPr>
        <w:spacing w:line="240" w:lineRule="auto"/>
        <w:ind w:firstLine="480" w:firstLineChars="200"/>
        <w:jc w:val="both"/>
        <w:rPr>
          <w:rFonts w:hint="eastAsia"/>
        </w:rPr>
      </w:pPr>
      <w:r>
        <w:rPr>
          <w:rFonts w:hint="eastAsia"/>
        </w:rPr>
        <w:t>主要影响因素包括：a) 温度：通常在铁基合金温度超过260°C时开始发生高温硫化物腐蚀，随温度升高，腐蚀速率增大；b) 合金元素：一般而言，铬含量越高，合金耐硫化物腐蚀能力越强，当铬含量未达到</w:t>
      </w:r>
      <w:r>
        <w:rPr>
          <w:rFonts w:hint="eastAsia"/>
          <w:lang w:eastAsia="zh-CN"/>
        </w:rPr>
        <w:t>7%～9%</w:t>
      </w:r>
      <w:r>
        <w:rPr>
          <w:rFonts w:hint="eastAsia"/>
        </w:rPr>
        <w:t>（质量分数）时，即使增加铬含量，材料耐腐蚀性提高也不明显。铬含量相近的不锈钢其耐腐蚀能力相近，镍基合金同样如此；c) 氢分压：氢分压较高时，腐蚀速率比无氢环境下的硫化物腐蚀速率大得多；d) 硫化氢分压：随硫化氢分压增高，腐蚀速率会增大。</w:t>
      </w:r>
    </w:p>
    <w:p w14:paraId="62EDC821">
      <w:pPr>
        <w:numPr>
          <w:ilvl w:val="0"/>
          <w:numId w:val="11"/>
        </w:numPr>
        <w:spacing w:line="240" w:lineRule="auto"/>
        <w:ind w:left="0" w:firstLine="480" w:firstLineChars="200"/>
      </w:pPr>
      <w:r>
        <w:rPr>
          <w:rFonts w:hint="eastAsia"/>
        </w:rPr>
        <w:t>酸性水腐蚀</w:t>
      </w:r>
    </w:p>
    <w:p w14:paraId="2D916F8C">
      <w:pPr>
        <w:spacing w:line="240" w:lineRule="auto"/>
        <w:ind w:firstLine="480" w:firstLineChars="200"/>
        <w:jc w:val="both"/>
        <w:rPr>
          <w:rFonts w:hint="eastAsia"/>
        </w:rPr>
      </w:pPr>
      <w:r>
        <w:rPr>
          <w:rFonts w:hint="eastAsia"/>
        </w:rPr>
        <w:t>酸性水腐蚀是由含有硫化氢且 pH 值介于1.5~7.0 之间的酸性水引起的金属腐蚀，介质中也可能含有二氧化碳。酸性水腐蚀一般为均匀腐蚀，有氧存在时易发生局部腐蚀或沉积物下局部腐蚀，含有二氧化碳的环境还可能同时出现碳酸盐应力腐蚀；300系列不锈钢易发生点蚀，还可能出现缝隙腐蚀，以及氯化物应力腐蚀开裂。</w:t>
      </w:r>
    </w:p>
    <w:p w14:paraId="25DD6C34">
      <w:pPr>
        <w:spacing w:line="240" w:lineRule="auto"/>
        <w:ind w:firstLine="480" w:firstLineChars="200"/>
        <w:jc w:val="both"/>
      </w:pPr>
      <w:r>
        <w:rPr>
          <w:rFonts w:hint="eastAsia"/>
        </w:rPr>
        <w:t>主要影响因素包括：a) 硫化氢浓度：随酸性水中硫化氢浓度的升高，腐蚀速率增大。酸性水中硫化氢浓度取决于气相中硫化氢分压、温度和 pH值，在一定的压力下，酸性水中的硫化氢浓度随温度升高而降低。b) pH值：硫化氢浓度增加会降低溶液的pH值，最低可达4.5 ，形成较强的酸性环境，腐蚀明显。pH值高于4.5时，可能会形成硫化亚铁保护膜，减小腐蚀速率；但有些时候则可能形成一层多孔的硫化物厚膜，不仅不能减小均匀腐蚀速率，甚至会促进垢下点蚀。c) 杂质：氯化氢和二氧化碳会降低pH，即酸性变强，氨会使 pH值升高但可能形成碱式酸性水腐蚀。空气或氧化剂的存在可能会增加腐蚀作用，常形成点蚀或垢下腐蚀。d) 流速：高流速冲刷易使硫化亚铁保护膜被破坏，腐蚀速率增大。</w:t>
      </w:r>
    </w:p>
    <w:p w14:paraId="607F7DFF">
      <w:pPr>
        <w:numPr>
          <w:ilvl w:val="0"/>
          <w:numId w:val="11"/>
        </w:numPr>
        <w:spacing w:line="240" w:lineRule="auto"/>
        <w:ind w:left="0" w:firstLine="480" w:firstLineChars="200"/>
      </w:pPr>
      <w:r>
        <w:rPr>
          <w:rFonts w:hint="eastAsia"/>
        </w:rPr>
        <w:t>湿硫化氢破坏</w:t>
      </w:r>
    </w:p>
    <w:p w14:paraId="177E2796">
      <w:pPr>
        <w:spacing w:line="240" w:lineRule="auto"/>
        <w:ind w:firstLine="480" w:firstLineChars="200"/>
        <w:jc w:val="both"/>
      </w:pPr>
      <w:r>
        <w:rPr>
          <w:rFonts w:hint="eastAsia"/>
        </w:rPr>
        <w:t>湿硫化氢破坏是在含水和硫化氢环境中碳钢和低合金钢所发生的损伤，包括氢鼓泡（HB）、氢致开裂（HIC）、应力导向氢致开裂（SOHIC）和硫化物应力腐蚀开裂（SSCC）4种形式。氢鼓泡是指金属表面硫化物腐蚀产生的氢原子扩散进入钢中，在钢中的不连续处（如有夹杂物、裂隙等）聚合形成氢分子，当氢分压超过临界值时会引发材料的局部变形，形成鼓泡；氢致开裂是氢鼓泡在材料内部不同深度形成时，鼓泡长大导致相邻的鼓泡不断连接，形成阶梯状裂纹；应力导向氢致开裂是在焊接残余应力或其他应力作用下，氢致开裂裂纹沿厚度方向不断相连并形成穿透至表面的开裂；硫化物应力腐蚀开裂是由于金属表面硫化物腐蚀过程中产生的原子氢吸附，在高应力区（焊缝和热影响区）聚集造成的一种开裂。</w:t>
      </w:r>
    </w:p>
    <w:p w14:paraId="1375837A">
      <w:pPr>
        <w:spacing w:line="240" w:lineRule="auto"/>
        <w:ind w:firstLine="480" w:firstLineChars="200"/>
        <w:jc w:val="both"/>
      </w:pPr>
      <w:r>
        <w:rPr>
          <w:rFonts w:hint="eastAsia"/>
        </w:rPr>
        <w:t>主要影响因素包括：a)</w:t>
      </w:r>
      <w:r>
        <w:rPr>
          <w:rFonts w:hint="eastAsia"/>
        </w:rPr>
        <w:tab/>
      </w:r>
      <w:r>
        <w:rPr>
          <w:rFonts w:hint="eastAsia"/>
        </w:rPr>
        <w:t>pH值：当溶液的pH值小于4.0，或pH值大于7.6且氰化氢浓度＞20ppm并溶解有硫化氢时，湿硫化氢破坏易发生；b）硫化氢分压：溶液中溶解的硫化氢浓度&gt;50ppm，或潮湿气体中硫化氢气相分压&gt;0.0003MPa时，湿硫化氢破坏易发生，且分压越大，敏感性越高；c）温度：氢鼓泡、氢致开裂、应力导向氢致开裂损伤发生的温度范围为室温到150℃，有时可以更高，硫化物应力腐蚀开裂通常发生在82℃以下；d）硬度：硫化物应力腐蚀开裂跟硬度有关，炼油厂常用的低强度碳钢应控制焊接接头硬度在HB200（布氏硬度）以下，氢鼓泡、氢致开裂、应力导向氢致开裂与钢的硬度无关；e) 钢纯净度：提高钢纯净度能提升钢材抗氢鼓泡、氢致开裂、应力导向氢致开裂能力；f) 焊后热处理：焊后热处理可以有效地降低焊缝发生硫化物应力腐蚀开裂的可能性，对防止应力导向氢致开裂有一定的减缓作用，但对氢鼓泡、氢致开裂不起作用； g) 杂质：如果硫氢化铵的浓度超过2%（质量分数），会增加氢鼓泡、氢致开裂、应力导向氢致开裂的敏感性。</w:t>
      </w:r>
    </w:p>
    <w:p w14:paraId="303C78D9">
      <w:pPr>
        <w:numPr>
          <w:ilvl w:val="0"/>
          <w:numId w:val="11"/>
        </w:numPr>
        <w:spacing w:line="240" w:lineRule="auto"/>
        <w:ind w:left="0" w:firstLine="480" w:firstLineChars="200"/>
        <w:jc w:val="both"/>
      </w:pPr>
      <w:r>
        <w:rPr>
          <w:rFonts w:hint="eastAsia"/>
        </w:rPr>
        <w:t>氯化物应力腐蚀开裂</w:t>
      </w:r>
    </w:p>
    <w:p w14:paraId="54B57FA7">
      <w:pPr>
        <w:spacing w:line="240" w:lineRule="auto"/>
        <w:ind w:firstLine="480" w:firstLineChars="200"/>
        <w:jc w:val="both"/>
      </w:pPr>
      <w:r>
        <w:rPr>
          <w:rFonts w:hint="eastAsia"/>
        </w:rPr>
        <w:t>氯化物应力腐蚀开裂是处于氯化物水溶液环境中的300系列不锈钢或部分镍合金在拉应力、温度和氯化物水溶液的共同作用下，产生起源于表面的开裂，裂纹起源于表面，多呈树枝状，有分叉，一般为穿晶扩展，但发生敏化的300系列不锈钢应力腐蚀断口也可能呈沿晶特征，断口通常为脆性断口，300系列不锈钢焊缝组织通常会含有一些铁素体，形成双相组织结构，出现氯化物应力腐蚀开裂的可能性通常会小一些。</w:t>
      </w:r>
    </w:p>
    <w:p w14:paraId="6D3AFB8A">
      <w:pPr>
        <w:spacing w:line="240" w:lineRule="auto"/>
        <w:ind w:firstLine="480" w:firstLineChars="200"/>
        <w:jc w:val="both"/>
      </w:pPr>
      <w:r>
        <w:rPr>
          <w:rFonts w:hint="eastAsia"/>
        </w:rPr>
        <w:t>主要影响因素包括：a) 温度：敏感性随温度的升高而升高，开裂时金属温度通常不低于60℃；b) 浓度：敏感性随氯化物浓度的升高而升高，但很多情况下氯离子会在局部浓缩，所以即使介质中氯化物含量很低，也可能会发生应力腐蚀；c) 伴热或蒸发条件：如果存在伴热或蒸发条件，可能导致氯化物局部浓缩，显著增加氯化物应力腐蚀开裂敏感性。干－湿、水－气交替的环境具有类似作用；d) pH值：发生应力腐蚀开裂时pH值通常大于2.0，pH值低于此数值时多易发生均匀腐蚀；pH值接近碱性区域时，应力腐蚀开裂可能性降低；e) 应力：应力（残余应力或外加应力）越大，开裂敏感性越高；f) 选材：镍含量在8%～12%时，开裂敏感性最大，镍含量高于35 %时具有较高的氯化物应力腐蚀抗力，镍含量高于45%时，基本上不会发生氯化物应力腐蚀开裂。双相不锈钢比300系列不锈钢耐氯化物应力腐蚀能力更强，碳钢、低合金钢、400系列不锈钢则对氯化物应力腐蚀开裂不敏感；g) 溶解氧：溶解氧会加速氯化物应力腐蚀开裂。</w:t>
      </w:r>
    </w:p>
    <w:p w14:paraId="779BF0F2">
      <w:pPr>
        <w:numPr>
          <w:ilvl w:val="0"/>
          <w:numId w:val="11"/>
        </w:numPr>
        <w:spacing w:line="240" w:lineRule="auto"/>
        <w:ind w:left="0" w:firstLine="480" w:firstLineChars="200"/>
        <w:jc w:val="both"/>
      </w:pPr>
      <w:r>
        <w:rPr>
          <w:rFonts w:hint="eastAsia"/>
        </w:rPr>
        <w:t>连多硫酸应力腐蚀开裂</w:t>
      </w:r>
    </w:p>
    <w:p w14:paraId="313E3AF4">
      <w:pPr>
        <w:spacing w:line="240" w:lineRule="auto"/>
        <w:ind w:firstLine="480" w:firstLineChars="200"/>
        <w:jc w:val="both"/>
      </w:pPr>
      <w:r>
        <w:rPr>
          <w:rFonts w:hint="eastAsia"/>
        </w:rPr>
        <w:t>连多硫酸应力腐蚀开裂是停工期间设备表面的硫化物腐蚀产物与空气和水反应生成连多硫酸（H2S</w:t>
      </w:r>
      <w:r>
        <w:rPr>
          <w:rFonts w:hint="eastAsia"/>
          <w:vertAlign w:val="subscript"/>
        </w:rPr>
        <w:t>x</w:t>
      </w:r>
      <w:r>
        <w:rPr>
          <w:rFonts w:hint="eastAsia"/>
        </w:rPr>
        <w:t>O</w:t>
      </w:r>
      <w:r>
        <w:rPr>
          <w:rFonts w:hint="eastAsia"/>
          <w:vertAlign w:val="subscript"/>
        </w:rPr>
        <w:t>6</w:t>
      </w:r>
      <w:r>
        <w:rPr>
          <w:rFonts w:hint="eastAsia"/>
        </w:rPr>
        <w:t>，x=3~6），造成敏化的300系列不锈钢产生开裂（易发生在高应力区域或焊接接头热影响区），裂纹一般为沿晶扩展。这种开裂与300系列不锈钢在经历高温阶段时碳化铬在晶界析出，晶界附近的铬浓度减少，形成局部贫铬区有关。易发生在300系列不锈钢的敏化区域，多为沿晶型开裂，开裂可能在短短几分钟或几小时内沿厚度方向迅速扩展，并穿透管道和部件。</w:t>
      </w:r>
    </w:p>
    <w:p w14:paraId="0157608C">
      <w:pPr>
        <w:spacing w:line="240" w:lineRule="auto"/>
        <w:ind w:firstLine="480" w:firstLineChars="200"/>
        <w:jc w:val="both"/>
        <w:rPr>
          <w:rFonts w:hint="eastAsia"/>
        </w:rPr>
      </w:pPr>
      <w:r>
        <w:rPr>
          <w:rFonts w:hint="eastAsia"/>
        </w:rPr>
        <w:t>主要影响因素包括：a）环境：金属部件在硫化物环境中表面形成硫化物，硫化物与空气和水反应生成连多硫酸；b）材料：材料处于敏化状态或为敏感性材料；c）应力：存在残余应力或载荷引起的外加应力，大多数部件的残余应力通常就足以促成开裂；d）敏化：受影响的金属在制造、焊接或高温使用环境中会产生敏化，在金属晶界上形成碳化铬，敏化程度取决于材料成分、受热历史等因素。一般敏化会在400~815℃的温度范围内发生；e）碳含量：304或304H、316或316H等常规碳含量的不锈钢，焊接接头热影响区对敏化尤其敏感。“L”级低碳牌号（碳含量＜0.033%）的不锈钢则不太敏感，通常进行焊接也不会受到敏化影响。只要长期工作温度不超过400 ℃，L级牌号的300系列不锈钢就不会敏化。</w:t>
      </w:r>
    </w:p>
    <w:p w14:paraId="35741903">
      <w:pPr>
        <w:numPr>
          <w:ilvl w:val="0"/>
          <w:numId w:val="11"/>
        </w:numPr>
        <w:spacing w:line="240" w:lineRule="auto"/>
        <w:ind w:left="0" w:firstLine="480" w:firstLineChars="200"/>
        <w:jc w:val="both"/>
        <w:rPr>
          <w:rFonts w:hint="eastAsia"/>
        </w:rPr>
      </w:pPr>
      <w:r>
        <w:rPr>
          <w:rFonts w:hint="eastAsia"/>
        </w:rPr>
        <w:t>氢脆</w:t>
      </w:r>
    </w:p>
    <w:p w14:paraId="23E8E4C7">
      <w:pPr>
        <w:spacing w:line="240" w:lineRule="auto"/>
        <w:ind w:firstLine="480" w:firstLineChars="200"/>
        <w:jc w:val="both"/>
        <w:rPr>
          <w:rFonts w:hint="eastAsia"/>
        </w:rPr>
      </w:pPr>
      <w:r>
        <w:rPr>
          <w:rFonts w:hint="eastAsia"/>
        </w:rPr>
        <w:t>氢脆是制造、焊接或服役等过程中氢原子扩散进入高强度钢中，使其韧性下降，在残余应力及外部载荷的作用下发生的脆性断裂，是氢引起的滞后开裂。氢脆引起的开裂以表面开裂为主，也可能发生在表面下；氢脆发生在高残余应力或三向应力部位（缺口、拘束区）；微观而言，与不含氢试样相比，氢致滞后开裂断口的韧性断裂区减小；宏观而言，有些材料可能会产生脆断面，但多数情况下并不明显；强度较高的钢中氢脆裂纹一般沿晶扩展。</w:t>
      </w:r>
    </w:p>
    <w:p w14:paraId="470A5956">
      <w:pPr>
        <w:spacing w:line="240" w:lineRule="auto"/>
        <w:ind w:firstLine="480" w:firstLineChars="200"/>
        <w:jc w:val="both"/>
        <w:rPr>
          <w:rFonts w:hint="eastAsia"/>
        </w:rPr>
      </w:pPr>
      <w:r>
        <w:rPr>
          <w:rFonts w:hint="eastAsia"/>
        </w:rPr>
        <w:t>主要影响因素包括：a) 同时满足以下3个条件时氢脆易发生：钢或合金中的氢达到临界浓度，钢及合金的强度水平和组织对脆断敏感，残余应力和外加载荷共同作用造成的应力高于氢致开裂的临界应力；b) 氢的来源：焊接、酸溶液清洗和酸洗、高温临氢环境渗入后又未能及时逸出的氢、湿硫化氢或氢腐蚀环境、电镀、阴极保护；c) 金属温度高于82℃时，氢脆通常不会发生；d) 氢脆在静态载荷下对断裂韧性的影响较大，材料中渗入足量的氢且承受临界应力时，失效会迅速发生；e) 渗氢量取决于环境、表面化学反应和金属中存在的氢陷阱（如微观不连续、夹杂物、原始缺陷或裂纹）；f) 厚壁部件更容易发生氢脆；g) 随着材料强度升高，氢脆敏感性增大；h) 与同等强度的回火马氏体相比，未回火马氏体和珠光体材质更容易发生氢脆。</w:t>
      </w:r>
    </w:p>
    <w:p w14:paraId="792B8D56">
      <w:pPr>
        <w:numPr>
          <w:ilvl w:val="0"/>
          <w:numId w:val="11"/>
        </w:numPr>
        <w:spacing w:line="240" w:lineRule="auto"/>
        <w:ind w:left="0" w:firstLine="480" w:firstLineChars="200"/>
        <w:jc w:val="both"/>
        <w:rPr>
          <w:rFonts w:hint="eastAsia"/>
        </w:rPr>
      </w:pPr>
      <w:r>
        <w:rPr>
          <w:rFonts w:hint="eastAsia"/>
        </w:rPr>
        <w:t>高温氢损伤</w:t>
      </w:r>
    </w:p>
    <w:p w14:paraId="7BC3785F">
      <w:pPr>
        <w:spacing w:line="240" w:lineRule="auto"/>
        <w:ind w:firstLine="480" w:firstLineChars="200"/>
        <w:jc w:val="both"/>
        <w:rPr>
          <w:rFonts w:hint="eastAsia"/>
        </w:rPr>
      </w:pPr>
      <w:r>
        <w:rPr>
          <w:rFonts w:hint="eastAsia"/>
        </w:rPr>
        <w:t>碳钢和合金钢在高温临氢环境中，氢进入钢材中并与碳反应生成甲烷气体，甲烷进入晶界或夹杂界面的缝隙形成气泡，随着气泡压力的增大，靠近钢材表面的气泡会发生形变而鼓凸成为甲烷鼓泡，相邻晶界内气泡会长大并连接形成裂纹，腐蚀部位的钢材同时出现脱碳。碳钢的裂纹呈沿晶扩展，并靠近珠光体组织；分子氢或甲烷在钢材中的夹层处聚集，形成的鼓包有些通过目视检查就能发现。</w:t>
      </w:r>
    </w:p>
    <w:p w14:paraId="6F8E961A">
      <w:pPr>
        <w:spacing w:line="240" w:lineRule="auto"/>
        <w:ind w:firstLine="480" w:firstLineChars="200"/>
        <w:jc w:val="both"/>
      </w:pPr>
      <w:r>
        <w:rPr>
          <w:rFonts w:hint="eastAsia"/>
        </w:rPr>
        <w:t>因素包括：a) 温度：温度越高，氢腐蚀越严重；b) 氢分压：氢分压越高，氢腐蚀越严重；c) 材质：钢中碳含量越高，氢腐蚀越严重；d) 时间：从损伤开始发生到用合适的检测技术能发现的这段时间为孕育期，孕育期可能是极端苛刻工况下的几个小时或若干年；e) Nelson曲线给出了常见钢材不发生氢腐蚀的温度/氢分压最高容限、选材时应参考该曲线。</w:t>
      </w:r>
    </w:p>
    <w:p w14:paraId="710AFBD3">
      <w:pPr>
        <w:numPr>
          <w:ilvl w:val="0"/>
          <w:numId w:val="11"/>
        </w:numPr>
        <w:spacing w:line="240" w:lineRule="auto"/>
        <w:ind w:left="0" w:firstLine="480" w:firstLineChars="200"/>
        <w:jc w:val="both"/>
      </w:pPr>
      <w:r>
        <w:rPr>
          <w:rFonts w:hint="eastAsia"/>
        </w:rPr>
        <w:t>保温层下腐蚀</w:t>
      </w:r>
    </w:p>
    <w:p w14:paraId="279D2BB6">
      <w:pPr>
        <w:spacing w:line="240" w:lineRule="auto"/>
        <w:ind w:firstLine="480" w:firstLineChars="200"/>
        <w:jc w:val="both"/>
      </w:pPr>
      <w:r>
        <w:rPr>
          <w:rFonts w:hint="eastAsia"/>
        </w:rPr>
        <w:t>保温层下腐蚀是敷设隔热层等覆盖层的金属在覆盖层下发生的腐蚀。碳钢和低合金钢发生腐蚀时主要表现为覆盖层下局部腐蚀。将碳钢和低合金钢的隔热材料拆除后，隔热层下腐蚀常形成覆盖在腐蚀部件表面的片状疏松锈皮。300系列不锈钢、400系列不锈钢及双相不锈钢会产生点蚀和局部腐蚀。对于300系列不锈钢，尤其是当隔热材料为老旧硅酸盐（含氯化物）时，还可能发生氯化物应力腐蚀开裂，且在80℃~150℃范围内尤为明显，而双相不锈钢对此开裂敏感性较低。在一些局部腐蚀的情况中，腐蚀呈现为溃疡状点蚀（常见于油漆或涂层系统破损处）。隔热层和油漆或涂层明显发生了破损的部位经常伴有隔热层下腐蚀。</w:t>
      </w:r>
    </w:p>
    <w:p w14:paraId="38A4E94F">
      <w:pPr>
        <w:spacing w:line="240" w:lineRule="auto"/>
        <w:ind w:firstLine="480" w:firstLineChars="200"/>
        <w:jc w:val="both"/>
      </w:pPr>
      <w:r>
        <w:t>主要影响因素包括：a</w:t>
      </w:r>
      <w:r>
        <w:rPr>
          <w:rFonts w:hint="eastAsia"/>
        </w:rPr>
        <w:t>）</w:t>
      </w:r>
      <w:r>
        <w:t>大气成分：在海洋环境或水汽充沛的地方，发生隔热层下腐蚀的温度上限还可能远远超过121</w:t>
      </w:r>
      <w:r>
        <w:rPr>
          <w:rFonts w:hint="eastAsia" w:ascii="宋体" w:hAnsi="宋体" w:cs="宋体"/>
        </w:rPr>
        <w:t>℃</w:t>
      </w:r>
      <w:r>
        <w:t>；多雨、温暖和沿海地区的装置比干燥、寒冷和内陆地区的装置更容易发生隔热层下腐蚀；产生空气污染物，如氯化物（海洋环境，冷却塔飘落）或二氧化硫（烟囱排放物）的环境可能加速腐蚀</w:t>
      </w:r>
      <w:r>
        <w:rPr>
          <w:rFonts w:hint="eastAsia"/>
        </w:rPr>
        <w:t>；</w:t>
      </w:r>
      <w:r>
        <w:t>b</w:t>
      </w:r>
      <w:r>
        <w:rPr>
          <w:rFonts w:hint="eastAsia"/>
        </w:rPr>
        <w:t>）</w:t>
      </w:r>
      <w:r>
        <w:t>结构和覆盖层质量：结构设计和/或安装不良形成积水，将会加速隔热层下腐蚀；如果覆盖层的防护不严密，覆盖层的间隙处或破损处容易渗水，水的来源比较广泛，可能来自雨水、冷却水塔的喷淋、蒸汽伴热管泄漏冷凝等。吸湿（虹吸）的隔热材料可能会面临隔热层下腐蚀问题；从隔热层渗出的杂质，如氯化物，会加速损伤</w:t>
      </w:r>
      <w:r>
        <w:rPr>
          <w:rFonts w:hint="eastAsia"/>
        </w:rPr>
        <w:t>；</w:t>
      </w:r>
      <w:r>
        <w:t>c</w:t>
      </w:r>
      <w:r>
        <w:rPr>
          <w:rFonts w:hint="eastAsia"/>
        </w:rPr>
        <w:t>）</w:t>
      </w:r>
      <w:r>
        <w:t>温度：在水露点以下运行的设备容易在金属表面结露，形成潮湿环境，增加腐蚀可能性；当金属温度没有超过水快速蒸发的温度</w:t>
      </w:r>
      <w:r>
        <w:rPr>
          <w:rFonts w:hint="eastAsia"/>
        </w:rPr>
        <w:t>时</w:t>
      </w:r>
      <w:r>
        <w:t>，随温度升高，腐蚀速率增大；当金属温度在水的沸点100</w:t>
      </w:r>
      <w:r>
        <w:rPr>
          <w:rFonts w:hint="eastAsia" w:ascii="宋体" w:hAnsi="宋体" w:cs="宋体"/>
        </w:rPr>
        <w:t>℃</w:t>
      </w:r>
      <w:r>
        <w:t>~121</w:t>
      </w:r>
      <w:r>
        <w:rPr>
          <w:rFonts w:hint="eastAsia" w:ascii="宋体" w:hAnsi="宋体" w:cs="宋体"/>
        </w:rPr>
        <w:t>℃</w:t>
      </w:r>
      <w:r>
        <w:t>之间时，腐蚀非常严重。在该温度范围内，水很难蒸发，隔热层会长时间处于潮湿状态</w:t>
      </w:r>
      <w:r>
        <w:rPr>
          <w:rFonts w:hint="eastAsia"/>
        </w:rPr>
        <w:t>；</w:t>
      </w:r>
      <w:r>
        <w:t>d</w:t>
      </w:r>
      <w:r>
        <w:rPr>
          <w:rFonts w:hint="eastAsia"/>
        </w:rPr>
        <w:t>）</w:t>
      </w:r>
      <w:r>
        <w:t>运行：冷热循环运行或间歇使用可能加速腐蚀。</w:t>
      </w:r>
    </w:p>
    <w:p w14:paraId="2C12D667">
      <w:pPr>
        <w:numPr>
          <w:ilvl w:val="0"/>
          <w:numId w:val="11"/>
        </w:numPr>
        <w:spacing w:line="240" w:lineRule="auto"/>
        <w:ind w:left="0" w:firstLine="480" w:firstLineChars="200"/>
        <w:jc w:val="both"/>
      </w:pPr>
      <w:r>
        <w:rPr>
          <w:rFonts w:hint="eastAsia"/>
        </w:rPr>
        <w:t>大气腐蚀</w:t>
      </w:r>
    </w:p>
    <w:p w14:paraId="020EC3C9">
      <w:pPr>
        <w:spacing w:line="240" w:lineRule="auto"/>
        <w:ind w:firstLine="480" w:firstLineChars="200"/>
        <w:jc w:val="both"/>
      </w:pPr>
      <w:r>
        <w:rPr>
          <w:rFonts w:hint="eastAsia"/>
        </w:rPr>
        <w:t>大气腐蚀是未敷设隔热层等覆盖层的金属在大气中发生的腐蚀。碳钢和低合金钢发生腐蚀时主要表现为均匀腐蚀或局部腐蚀；纯铜在发生大气腐蚀时易在金属表面生成绿色腐蚀产物；铝、镁和钛等金属因新鲜金属与大气接触后可在表面生成一层氧化膜，并失去表面金属光泽。</w:t>
      </w:r>
    </w:p>
    <w:p w14:paraId="61B92906">
      <w:pPr>
        <w:spacing w:line="240" w:lineRule="auto"/>
        <w:ind w:firstLine="480" w:firstLineChars="200"/>
        <w:jc w:val="both"/>
        <w:rPr>
          <w:rFonts w:hint="eastAsia"/>
        </w:rPr>
      </w:pPr>
      <w:r>
        <w:rPr>
          <w:rFonts w:hint="eastAsia"/>
        </w:rPr>
        <w:t>主要影响因素包括：a）大气成分：含有氯离子的海洋大气、潮湿工业大气或含有强烈污染物的环境大气易发生该腐蚀；</w:t>
      </w:r>
      <w:r>
        <w:t>b</w:t>
      </w:r>
      <w:r>
        <w:rPr>
          <w:rFonts w:hint="eastAsia"/>
        </w:rPr>
        <w:t>）湿度：干燥的大气腐蚀能力很弱，而湿度较大的大气环境，尤其是容易凝结水滴的大气环境腐蚀能力较强。以碳钢为例，当空气中相对湿度超过60%时，碳钢腐蚀速率按指数关系增大，而空气相对湿度低于50%时，腐蚀速率则较低；</w:t>
      </w:r>
      <w:r>
        <w:t>c</w:t>
      </w:r>
      <w:r>
        <w:rPr>
          <w:rFonts w:hint="eastAsia"/>
        </w:rPr>
        <w:t>）温度：材料表面温度宜高出环境露点温度至少3℃，否则易在材料表面形成冷凝水造成腐蚀。</w:t>
      </w:r>
    </w:p>
    <w:p w14:paraId="5305FFF8">
      <w:pPr>
        <w:snapToGrid w:val="0"/>
        <w:spacing w:before="100" w:beforeAutospacing="1" w:line="360" w:lineRule="auto"/>
        <w:rPr>
          <w:rFonts w:ascii="Times New Roman" w:hAnsi="Times New Roman"/>
          <w:b/>
        </w:rPr>
      </w:pPr>
      <w:r>
        <w:rPr>
          <w:rFonts w:hint="eastAsia" w:ascii="Times New Roman" w:hAnsi="Times New Roman"/>
          <w:b/>
        </w:rPr>
        <w:t>5</w:t>
      </w:r>
      <w:r>
        <w:rPr>
          <w:rFonts w:ascii="Times New Roman" w:hAnsi="Times New Roman"/>
          <w:b/>
        </w:rPr>
        <w:t>.3.2原料及重要介质分析</w:t>
      </w:r>
    </w:p>
    <w:p w14:paraId="2198295B">
      <w:pPr>
        <w:spacing w:line="240" w:lineRule="auto"/>
        <w:ind w:firstLine="480" w:firstLineChars="200"/>
        <w:jc w:val="both"/>
        <w:rPr>
          <w:rFonts w:hint="eastAsia"/>
        </w:rPr>
      </w:pPr>
      <w:r>
        <w:rPr>
          <w:rFonts w:hint="eastAsia"/>
        </w:rPr>
        <w:t>丙烷脱沥青装置设计以1#蒸馏装置和2#蒸馏装置提供的渣油（硫含量≤2%质量分数，实测平均值1.34%）为原料及补充丙烷为溶剂。原料硫含量采样数据见下图。</w:t>
      </w:r>
    </w:p>
    <w:p w14:paraId="5CB41B68">
      <w:pPr>
        <w:spacing w:line="240" w:lineRule="auto"/>
        <w:ind w:firstLine="480" w:firstLineChars="200"/>
        <w:jc w:val="both"/>
      </w:pPr>
      <w:r>
        <w:pict>
          <v:shape id="_x0000_i1025" o:spt="75" type="#_x0000_t75" style="height:139.6pt;width:404.6pt;" filled="f" o:preferrelative="t" stroked="f" coordsize="21600,21600">
            <v:path/>
            <v:fill on="f" focussize="0,0"/>
            <v:stroke on="f"/>
            <v:imagedata r:id="rId12" o:title=""/>
            <o:lock v:ext="edit" aspectratio="t"/>
            <w10:wrap type="none"/>
            <w10:anchorlock/>
          </v:shape>
        </w:pict>
      </w:r>
    </w:p>
    <w:p w14:paraId="756008E8">
      <w:pPr>
        <w:spacing w:line="240" w:lineRule="auto"/>
        <w:ind w:firstLine="480" w:firstLineChars="200"/>
        <w:jc w:val="center"/>
        <w:rPr>
          <w:rFonts w:hint="eastAsia"/>
        </w:rPr>
      </w:pPr>
      <w:r>
        <w:rPr>
          <w:rFonts w:hint="eastAsia"/>
        </w:rPr>
        <w:t>图5-1 原料硫含量采样数据</w:t>
      </w:r>
    </w:p>
    <w:p w14:paraId="441D8E4F">
      <w:pPr>
        <w:spacing w:line="240" w:lineRule="auto"/>
        <w:ind w:firstLine="480" w:firstLineChars="200"/>
        <w:jc w:val="both"/>
      </w:pPr>
      <w:r>
        <w:rPr>
          <w:rFonts w:hint="eastAsia"/>
        </w:rPr>
        <w:t>原料腐蚀分析：在丙烷脱沥青装置中，原油进料含有硫化物、环烷酸、氯离子等腐蚀性介质。这些腐蚀性杂质产生的主要腐蚀和损伤类型包括：高温硫/环烷酸腐蚀、低温湿硫化氢损伤（腐蚀减薄、湿硫化氢应力腐蚀开裂、氢致开裂、应力导向氢致开裂），以及其他减薄如酸性水腐蚀等。</w:t>
      </w:r>
    </w:p>
    <w:p w14:paraId="4BB2DC6E">
      <w:pPr>
        <w:spacing w:before="100" w:beforeAutospacing="1" w:line="240" w:lineRule="auto"/>
        <w:jc w:val="both"/>
        <w:rPr>
          <w:rFonts w:hint="eastAsia" w:ascii="Times New Roman" w:hAnsi="Times New Roman"/>
          <w:b/>
        </w:rPr>
      </w:pPr>
      <w:r>
        <w:rPr>
          <w:rFonts w:hint="eastAsia" w:ascii="Times New Roman" w:hAnsi="Times New Roman"/>
          <w:b/>
        </w:rPr>
        <w:t>5.3.3 工艺及选材说明</w:t>
      </w:r>
    </w:p>
    <w:p w14:paraId="7E2D9DFD">
      <w:pPr>
        <w:spacing w:line="240" w:lineRule="auto"/>
        <w:ind w:firstLine="482" w:firstLineChars="200"/>
        <w:jc w:val="both"/>
        <w:rPr>
          <w:rFonts w:hint="eastAsia" w:ascii="黑体" w:hAnsi="黑体" w:eastAsia="黑体"/>
          <w:b/>
          <w:bCs/>
        </w:rPr>
      </w:pPr>
      <w:r>
        <w:rPr>
          <w:rFonts w:hint="eastAsia" w:ascii="黑体" w:hAnsi="黑体" w:eastAsia="黑体"/>
          <w:b/>
          <w:bCs/>
        </w:rPr>
        <w:t>丙烷脱沥青装置</w:t>
      </w:r>
    </w:p>
    <w:p w14:paraId="53990238">
      <w:pPr>
        <w:spacing w:line="240" w:lineRule="auto"/>
        <w:ind w:firstLine="480" w:firstLineChars="200"/>
        <w:jc w:val="both"/>
        <w:rPr>
          <w:rFonts w:hint="eastAsia" w:ascii="Times New Roman" w:hAnsi="Times New Roman"/>
        </w:rPr>
      </w:pPr>
      <w:r>
        <w:rPr>
          <w:rFonts w:hint="eastAsia" w:ascii="Times New Roman" w:hAnsi="Times New Roman"/>
        </w:rPr>
        <w:t>装置主要包括萃取系统、临界回收系统、蒸发回收系统、汽提回收系统及公用系统等几部分。</w:t>
      </w:r>
    </w:p>
    <w:p w14:paraId="17B11B93">
      <w:pPr>
        <w:spacing w:line="240" w:lineRule="auto"/>
        <w:ind w:firstLine="482" w:firstLineChars="200"/>
        <w:jc w:val="both"/>
        <w:rPr>
          <w:rFonts w:hint="eastAsia" w:ascii="Times New Roman" w:hAnsi="Times New Roman"/>
        </w:rPr>
      </w:pPr>
      <w:r>
        <w:rPr>
          <w:rFonts w:hint="eastAsia" w:ascii="Times New Roman" w:hAnsi="Times New Roman"/>
          <w:b/>
          <w:bCs/>
        </w:rPr>
        <w:t>萃取系统：</w:t>
      </w:r>
      <w:r>
        <w:rPr>
          <w:rFonts w:hint="eastAsia" w:ascii="Times New Roman" w:hAnsi="Times New Roman"/>
        </w:rPr>
        <w:t>减压渣油用原料泵自原料罐（D-1）抽出与丙烷在静态混合器（混－1、2）中混合后进入萃取塔（塔C-1/1、C-1/2）萃取段的上部。塔C-1/1萃取出来的脱沥青油溶液进入塔C-1/1的沉降段，经沉降段顶部加热盘管加热，轻组分上升，重组分下降，分为轻脱沥青油溶液和重脱沥青油溶液，分别从沉降段顶部和底部出去，进入溶剂回收系统。塔C-1/1、2萃取脱除出来的沥青溶液，从塔底出来进入溶剂回收系统。</w:t>
      </w:r>
    </w:p>
    <w:p w14:paraId="0B631A04">
      <w:pPr>
        <w:spacing w:line="240" w:lineRule="auto"/>
        <w:ind w:firstLine="482" w:firstLineChars="200"/>
        <w:jc w:val="both"/>
        <w:rPr>
          <w:rFonts w:hint="eastAsia" w:ascii="Times New Roman" w:hAnsi="Times New Roman"/>
        </w:rPr>
      </w:pPr>
      <w:r>
        <w:rPr>
          <w:rFonts w:hint="eastAsia" w:ascii="Times New Roman" w:hAnsi="Times New Roman"/>
          <w:b/>
          <w:bCs/>
        </w:rPr>
        <w:t>临界回收系统：</w:t>
      </w:r>
      <w:r>
        <w:rPr>
          <w:rFonts w:hint="eastAsia" w:ascii="Times New Roman" w:hAnsi="Times New Roman"/>
        </w:rPr>
        <w:t>塔C-1/1</w:t>
      </w:r>
      <w:r>
        <w:rPr>
          <w:rFonts w:hint="eastAsia" w:ascii="Times New Roman" w:hAnsi="Times New Roman"/>
          <w:lang w:eastAsia="zh-CN"/>
        </w:rPr>
        <w:t>顶部</w:t>
      </w:r>
      <w:r>
        <w:rPr>
          <w:rFonts w:hint="eastAsia" w:ascii="Times New Roman" w:hAnsi="Times New Roman"/>
        </w:rPr>
        <w:t>出来的轻脱沥青油溶液，经加热到丙烷临界温度后进入塔C-2/1进行沉降分离。塔C-2/1顶出来的临界丙烷换热后，进入E-1/1、E-1/2、E-2/1、E-2/2。塔C-1/2顶出来的轻脱沥青油溶液经换热后进入塔C-2/2，经E-3换热后的临界丙烷进入E-8/1与沥青液换热后，进入E-1/3、E-1/4、E-2/3、E-2/4</w:t>
      </w:r>
      <w:r>
        <w:rPr>
          <w:rFonts w:hint="eastAsia" w:ascii="Times New Roman" w:hAnsi="Times New Roman"/>
          <w:lang w:eastAsia="zh-CN"/>
        </w:rPr>
        <w:t>。</w:t>
      </w:r>
    </w:p>
    <w:p w14:paraId="5212FA0F">
      <w:pPr>
        <w:spacing w:line="240" w:lineRule="auto"/>
        <w:ind w:firstLine="482" w:firstLineChars="200"/>
        <w:jc w:val="both"/>
        <w:rPr>
          <w:rFonts w:hint="eastAsia" w:ascii="Times New Roman" w:hAnsi="Times New Roman"/>
        </w:rPr>
      </w:pPr>
      <w:r>
        <w:rPr>
          <w:rFonts w:hint="eastAsia" w:ascii="Times New Roman" w:hAnsi="Times New Roman"/>
          <w:b/>
          <w:bCs/>
        </w:rPr>
        <w:t>蒸发回收系统：</w:t>
      </w:r>
      <w:r>
        <w:rPr>
          <w:rFonts w:hint="eastAsia" w:ascii="Times New Roman" w:hAnsi="Times New Roman"/>
        </w:rPr>
        <w:t>塔C-2/1、C-2/2底的轻脱油液经换热后，进入加热炉对流室中部加热，再到轻脱油蒸发塔（C-8）。在塔C-8中被蒸发的丙烷从塔顶出来，含少量丙烷的轻脱油从塔底出去，进汽提回收系统。塔C-1/1</w:t>
      </w:r>
      <w:r>
        <w:rPr>
          <w:rFonts w:hint="eastAsia" w:ascii="Times New Roman" w:hAnsi="Times New Roman"/>
          <w:lang w:eastAsia="zh-CN"/>
        </w:rPr>
        <w:t>底部</w:t>
      </w:r>
      <w:r>
        <w:rPr>
          <w:rFonts w:hint="eastAsia" w:ascii="Times New Roman" w:hAnsi="Times New Roman"/>
        </w:rPr>
        <w:t>和塔C-1/2集油箱底出来的重脱油液经换热后进入重脱油蒸发塔（塔C-3）的中部，在塔C-3下部与沥青蒸发塔（塔C-4）顶来的高温丙烷气逆向接触传热，蒸发出来的丙烷从塔顶出来。含少量丙烷的重脱油从塔底出去，进汽提回收系统。塔C-3、C-8顶出来的蒸发丙烷汇合后，进入旋－4，分离出丙烷中携带的少量油后，经D-14沉降分离出含硫污水后回D-8。旋－4底含少量丙烷的油自流到液封罐通过间歇操作进重脱油汽提塔（塔C-6）。</w:t>
      </w:r>
    </w:p>
    <w:p w14:paraId="175708EE">
      <w:pPr>
        <w:spacing w:line="240" w:lineRule="auto"/>
        <w:ind w:firstLine="482" w:firstLineChars="200"/>
        <w:jc w:val="both"/>
        <w:rPr>
          <w:rFonts w:hint="eastAsia" w:ascii="Times New Roman" w:hAnsi="Times New Roman"/>
        </w:rPr>
      </w:pPr>
      <w:r>
        <w:rPr>
          <w:rFonts w:hint="eastAsia" w:ascii="Times New Roman" w:hAnsi="Times New Roman"/>
          <w:b/>
          <w:bCs/>
        </w:rPr>
        <w:t>汽提回收系统：</w:t>
      </w:r>
      <w:r>
        <w:rPr>
          <w:rFonts w:hint="eastAsia" w:ascii="Times New Roman" w:hAnsi="Times New Roman"/>
        </w:rPr>
        <w:t>塔C-8底的轻脱油液进入汽提塔（C-5），汽提出残留在轻脱油中的丙烷，塔底的轻脱油出装置。塔C-3底的重脱油液进入重脱油汽提塔（C-6），塔底的重脱油</w:t>
      </w:r>
      <w:r>
        <w:rPr>
          <w:rFonts w:hint="eastAsia" w:ascii="Times New Roman" w:hAnsi="Times New Roman"/>
          <w:lang w:eastAsia="zh-CN"/>
        </w:rPr>
        <w:t>送</w:t>
      </w:r>
      <w:r>
        <w:rPr>
          <w:rFonts w:hint="eastAsia" w:ascii="Times New Roman" w:hAnsi="Times New Roman"/>
        </w:rPr>
        <w:t>出装置。塔C-4底的沥青液进入沥青汽提塔（C-7），塔底的沥青出装置。汽提塔（C-5、C-6、C-7）顶出来的丙烷和水蒸汽进入冷凝分离器（D-5/2），分离出凝结水排至含油井。D-5/2顶丙烷气与碱液经混合器混合后，进入碱液沉降罐（D-5/3）进行气液分离，再进入D-5，容D-5顶丙烷气体经分液，稳压后进入丙烷气压缩机</w:t>
      </w:r>
      <w:r>
        <w:rPr>
          <w:rFonts w:hint="eastAsia" w:ascii="Times New Roman" w:hAnsi="Times New Roman"/>
          <w:lang w:eastAsia="zh-CN"/>
        </w:rPr>
        <w:t>进行压缩</w:t>
      </w:r>
      <w:r>
        <w:rPr>
          <w:rFonts w:hint="eastAsia" w:ascii="Times New Roman" w:hAnsi="Times New Roman"/>
        </w:rPr>
        <w:t>，经润滑油分离器（D-13）分离出油液，再进入D-8。</w:t>
      </w:r>
    </w:p>
    <w:p w14:paraId="04C94C93">
      <w:pPr>
        <w:spacing w:line="240" w:lineRule="auto"/>
        <w:jc w:val="center"/>
        <w:rPr>
          <w:lang/>
        </w:rPr>
      </w:pPr>
      <w:r>
        <w:pict>
          <v:shape id="_x0000_i1026" o:spt="75" alt="丙烷工艺流程图" type="#_x0000_t75" style="height:323.65pt;width:369.7pt;" filled="f" o:preferrelative="t" stroked="f" coordsize="21600,21600">
            <v:path/>
            <v:fill on="f" focussize="0,0"/>
            <v:stroke on="f"/>
            <v:imagedata r:id="rId13" o:title="丙烷工艺流程图"/>
            <o:lock v:ext="edit" aspectratio="t"/>
            <w10:wrap type="none"/>
            <w10:anchorlock/>
          </v:shape>
        </w:pict>
      </w:r>
    </w:p>
    <w:p w14:paraId="2CEA8E79">
      <w:pPr>
        <w:spacing w:line="240" w:lineRule="auto"/>
        <w:jc w:val="center"/>
      </w:pPr>
      <w:r>
        <w:rPr>
          <w:rFonts w:hint="eastAsia"/>
        </w:rPr>
        <w:t>图5-2 丙烷脱沥青工艺及选材示意图</w:t>
      </w:r>
    </w:p>
    <w:p w14:paraId="08413DF3">
      <w:pPr>
        <w:spacing w:line="240" w:lineRule="auto"/>
        <w:jc w:val="both"/>
        <w:rPr>
          <w:rFonts w:ascii="Times New Roman" w:hAnsi="Times New Roman"/>
          <w:b/>
        </w:rPr>
      </w:pPr>
      <w:r>
        <w:rPr>
          <w:rFonts w:hint="eastAsia" w:ascii="Times New Roman" w:hAnsi="Times New Roman"/>
          <w:b/>
        </w:rPr>
        <w:t>5.3.4 检验情况</w:t>
      </w:r>
    </w:p>
    <w:p w14:paraId="28315364">
      <w:pPr>
        <w:spacing w:line="240" w:lineRule="auto"/>
        <w:ind w:firstLine="480" w:firstLineChars="200"/>
        <w:jc w:val="both"/>
        <w:rPr>
          <w:rFonts w:hint="eastAsia" w:ascii="Times New Roman" w:hAnsi="Times New Roman"/>
        </w:rPr>
      </w:pPr>
      <w:r>
        <w:rPr>
          <w:rFonts w:hint="eastAsia" w:ascii="Times New Roman" w:hAnsi="Times New Roman"/>
        </w:rPr>
        <w:t>本次所评67台压力容器分属三个装置：丙烷脱沥青、2#柴油加氢、2#高档白油加氢。检验历史见表5-3。</w:t>
      </w:r>
    </w:p>
    <w:p w14:paraId="1484DD89">
      <w:pPr>
        <w:spacing w:line="240" w:lineRule="auto"/>
        <w:ind w:firstLine="480" w:firstLineChars="200"/>
        <w:jc w:val="center"/>
        <w:rPr>
          <w:rFonts w:ascii="Times New Roman" w:hAnsi="Times New Roman"/>
        </w:rPr>
      </w:pPr>
      <w:r>
        <w:rPr>
          <w:rFonts w:hint="eastAsia" w:ascii="Times New Roman" w:hAnsi="Times New Roman"/>
        </w:rPr>
        <w:t>表5-3 所评设备分布及检验汇总情况</w:t>
      </w:r>
    </w:p>
    <w:tbl>
      <w:tblPr>
        <w:tblStyle w:val="30"/>
        <w:tblpPr w:leftFromText="180" w:rightFromText="180" w:vertAnchor="text" w:horzAnchor="page" w:tblpX="1555" w:tblpY="452"/>
        <w:tblOverlap w:val="never"/>
        <w:tblW w:w="4998" w:type="pct"/>
        <w:tblInd w:w="0" w:type="dxa"/>
        <w:tblLayout w:type="autofit"/>
        <w:tblCellMar>
          <w:top w:w="0" w:type="dxa"/>
          <w:left w:w="108" w:type="dxa"/>
          <w:bottom w:w="0" w:type="dxa"/>
          <w:right w:w="108" w:type="dxa"/>
        </w:tblCellMar>
      </w:tblPr>
      <w:tblGrid>
        <w:gridCol w:w="869"/>
        <w:gridCol w:w="1686"/>
        <w:gridCol w:w="1692"/>
        <w:gridCol w:w="1739"/>
        <w:gridCol w:w="3013"/>
      </w:tblGrid>
      <w:tr w14:paraId="6133A5D0">
        <w:tblPrEx>
          <w:tblCellMar>
            <w:top w:w="0" w:type="dxa"/>
            <w:left w:w="108" w:type="dxa"/>
            <w:bottom w:w="0" w:type="dxa"/>
            <w:right w:w="108" w:type="dxa"/>
          </w:tblCellMar>
        </w:tblPrEx>
        <w:trPr>
          <w:trHeight w:val="312" w:hRule="atLeast"/>
        </w:trPr>
        <w:tc>
          <w:tcPr>
            <w:tcW w:w="505" w:type="pct"/>
            <w:tcBorders>
              <w:top w:val="single" w:color="000000" w:sz="4" w:space="0"/>
              <w:left w:val="single" w:color="000000" w:sz="4" w:space="0"/>
              <w:bottom w:val="single" w:color="000000" w:sz="4" w:space="0"/>
              <w:right w:val="single" w:color="000000" w:sz="4" w:space="0"/>
            </w:tcBorders>
            <w:noWrap/>
            <w:vAlign w:val="center"/>
          </w:tcPr>
          <w:p w14:paraId="1E34D786">
            <w:pPr>
              <w:spacing w:line="240" w:lineRule="auto"/>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序号</w:t>
            </w:r>
          </w:p>
        </w:tc>
        <w:tc>
          <w:tcPr>
            <w:tcW w:w="931" w:type="pct"/>
            <w:tcBorders>
              <w:top w:val="single" w:color="000000" w:sz="4" w:space="0"/>
              <w:left w:val="single" w:color="000000" w:sz="4" w:space="0"/>
              <w:bottom w:val="single" w:color="000000" w:sz="4" w:space="0"/>
              <w:right w:val="single" w:color="000000" w:sz="4" w:space="0"/>
            </w:tcBorders>
            <w:noWrap/>
            <w:vAlign w:val="center"/>
          </w:tcPr>
          <w:p w14:paraId="7B52937C">
            <w:pPr>
              <w:spacing w:line="240" w:lineRule="auto"/>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装置</w:t>
            </w:r>
          </w:p>
        </w:tc>
        <w:tc>
          <w:tcPr>
            <w:tcW w:w="908" w:type="pct"/>
            <w:tcBorders>
              <w:top w:val="single" w:color="000000" w:sz="4" w:space="0"/>
              <w:left w:val="single" w:color="000000" w:sz="4" w:space="0"/>
              <w:bottom w:val="single" w:color="000000" w:sz="4" w:space="0"/>
              <w:right w:val="single" w:color="000000" w:sz="4" w:space="0"/>
            </w:tcBorders>
            <w:noWrap/>
            <w:vAlign w:val="center"/>
          </w:tcPr>
          <w:p w14:paraId="75CC8093">
            <w:pPr>
              <w:spacing w:line="240" w:lineRule="auto"/>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评估数量（台）</w:t>
            </w:r>
          </w:p>
        </w:tc>
        <w:tc>
          <w:tcPr>
            <w:tcW w:w="959" w:type="pct"/>
            <w:tcBorders>
              <w:top w:val="single" w:color="000000" w:sz="4" w:space="0"/>
              <w:left w:val="single" w:color="000000" w:sz="4" w:space="0"/>
              <w:bottom w:val="single" w:color="000000" w:sz="4" w:space="0"/>
              <w:right w:val="single" w:color="000000" w:sz="4" w:space="0"/>
            </w:tcBorders>
            <w:noWrap/>
            <w:vAlign w:val="center"/>
          </w:tcPr>
          <w:p w14:paraId="42DDE7D2">
            <w:pPr>
              <w:spacing w:line="240" w:lineRule="auto"/>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上次定检日期</w:t>
            </w:r>
          </w:p>
        </w:tc>
        <w:tc>
          <w:tcPr>
            <w:tcW w:w="1695" w:type="pct"/>
            <w:tcBorders>
              <w:top w:val="single" w:color="000000" w:sz="4" w:space="0"/>
              <w:left w:val="single" w:color="000000" w:sz="4" w:space="0"/>
              <w:bottom w:val="single" w:color="000000" w:sz="4" w:space="0"/>
              <w:right w:val="single" w:color="000000" w:sz="4" w:space="0"/>
            </w:tcBorders>
            <w:noWrap/>
            <w:vAlign w:val="center"/>
          </w:tcPr>
          <w:p w14:paraId="539D7975">
            <w:pPr>
              <w:spacing w:line="240" w:lineRule="auto"/>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检验单位</w:t>
            </w:r>
          </w:p>
        </w:tc>
      </w:tr>
      <w:tr w14:paraId="5BBA7758">
        <w:tblPrEx>
          <w:tblCellMar>
            <w:top w:w="0" w:type="dxa"/>
            <w:left w:w="108" w:type="dxa"/>
            <w:bottom w:w="0" w:type="dxa"/>
            <w:right w:w="108" w:type="dxa"/>
          </w:tblCellMar>
        </w:tblPrEx>
        <w:trPr>
          <w:trHeight w:val="312" w:hRule="atLeast"/>
        </w:trPr>
        <w:tc>
          <w:tcPr>
            <w:tcW w:w="505" w:type="pct"/>
            <w:tcBorders>
              <w:top w:val="single" w:color="000000" w:sz="4" w:space="0"/>
              <w:left w:val="single" w:color="000000" w:sz="4" w:space="0"/>
              <w:bottom w:val="single" w:color="000000" w:sz="4" w:space="0"/>
              <w:right w:val="single" w:color="000000" w:sz="4" w:space="0"/>
            </w:tcBorders>
            <w:noWrap/>
            <w:vAlign w:val="center"/>
          </w:tcPr>
          <w:p w14:paraId="2855B797">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1</w:t>
            </w:r>
          </w:p>
        </w:tc>
        <w:tc>
          <w:tcPr>
            <w:tcW w:w="931" w:type="pct"/>
            <w:tcBorders>
              <w:top w:val="single" w:color="000000" w:sz="4" w:space="0"/>
              <w:left w:val="single" w:color="000000" w:sz="4" w:space="0"/>
              <w:bottom w:val="single" w:color="000000" w:sz="4" w:space="0"/>
              <w:right w:val="single" w:color="000000" w:sz="4" w:space="0"/>
            </w:tcBorders>
            <w:noWrap/>
            <w:vAlign w:val="center"/>
          </w:tcPr>
          <w:p w14:paraId="2560DE57">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丙烷脱沥青</w:t>
            </w:r>
          </w:p>
        </w:tc>
        <w:tc>
          <w:tcPr>
            <w:tcW w:w="908" w:type="pct"/>
            <w:tcBorders>
              <w:top w:val="single" w:color="000000" w:sz="4" w:space="0"/>
              <w:left w:val="single" w:color="000000" w:sz="4" w:space="0"/>
              <w:bottom w:val="single" w:color="000000" w:sz="4" w:space="0"/>
              <w:right w:val="single" w:color="000000" w:sz="4" w:space="0"/>
            </w:tcBorders>
            <w:noWrap/>
            <w:vAlign w:val="center"/>
          </w:tcPr>
          <w:p w14:paraId="4DDF026D">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60</w:t>
            </w:r>
          </w:p>
        </w:tc>
        <w:tc>
          <w:tcPr>
            <w:tcW w:w="959" w:type="pct"/>
            <w:tcBorders>
              <w:top w:val="single" w:color="000000" w:sz="4" w:space="0"/>
              <w:left w:val="single" w:color="000000" w:sz="4" w:space="0"/>
              <w:bottom w:val="single" w:color="000000" w:sz="4" w:space="0"/>
              <w:right w:val="single" w:color="000000" w:sz="4" w:space="0"/>
            </w:tcBorders>
            <w:noWrap/>
            <w:vAlign w:val="center"/>
          </w:tcPr>
          <w:p w14:paraId="313918E7">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2023年7月</w:t>
            </w:r>
          </w:p>
        </w:tc>
        <w:tc>
          <w:tcPr>
            <w:tcW w:w="1695" w:type="pct"/>
            <w:tcBorders>
              <w:top w:val="single" w:color="000000" w:sz="4" w:space="0"/>
              <w:left w:val="single" w:color="000000" w:sz="4" w:space="0"/>
              <w:bottom w:val="single" w:color="000000" w:sz="4" w:space="0"/>
              <w:right w:val="single" w:color="000000" w:sz="4" w:space="0"/>
            </w:tcBorders>
            <w:noWrap/>
            <w:vAlign w:val="center"/>
          </w:tcPr>
          <w:p w14:paraId="7CDDA8B8">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荆门石化特种设备检验检测站</w:t>
            </w:r>
          </w:p>
        </w:tc>
      </w:tr>
      <w:tr w14:paraId="1988BCA0">
        <w:tblPrEx>
          <w:tblCellMar>
            <w:top w:w="0" w:type="dxa"/>
            <w:left w:w="108" w:type="dxa"/>
            <w:bottom w:w="0" w:type="dxa"/>
            <w:right w:w="108" w:type="dxa"/>
          </w:tblCellMar>
        </w:tblPrEx>
        <w:trPr>
          <w:trHeight w:val="312" w:hRule="atLeast"/>
        </w:trPr>
        <w:tc>
          <w:tcPr>
            <w:tcW w:w="505" w:type="pct"/>
            <w:tcBorders>
              <w:top w:val="single" w:color="000000" w:sz="4" w:space="0"/>
              <w:left w:val="single" w:color="000000" w:sz="4" w:space="0"/>
              <w:bottom w:val="single" w:color="000000" w:sz="4" w:space="0"/>
              <w:right w:val="single" w:color="000000" w:sz="4" w:space="0"/>
            </w:tcBorders>
            <w:noWrap/>
            <w:vAlign w:val="center"/>
          </w:tcPr>
          <w:p w14:paraId="7BE3FA48">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w:t>
            </w:r>
          </w:p>
        </w:tc>
        <w:tc>
          <w:tcPr>
            <w:tcW w:w="931" w:type="pct"/>
            <w:tcBorders>
              <w:top w:val="single" w:color="000000" w:sz="4" w:space="0"/>
              <w:left w:val="single" w:color="000000" w:sz="4" w:space="0"/>
              <w:bottom w:val="single" w:color="000000" w:sz="4" w:space="0"/>
              <w:right w:val="single" w:color="000000" w:sz="4" w:space="0"/>
            </w:tcBorders>
            <w:noWrap/>
            <w:vAlign w:val="center"/>
          </w:tcPr>
          <w:p w14:paraId="5C1EF2A6">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2#高档白油加氢</w:t>
            </w:r>
          </w:p>
        </w:tc>
        <w:tc>
          <w:tcPr>
            <w:tcW w:w="908" w:type="pct"/>
            <w:tcBorders>
              <w:top w:val="single" w:color="000000" w:sz="4" w:space="0"/>
              <w:left w:val="single" w:color="000000" w:sz="4" w:space="0"/>
              <w:bottom w:val="single" w:color="000000" w:sz="4" w:space="0"/>
              <w:right w:val="single" w:color="000000" w:sz="4" w:space="0"/>
            </w:tcBorders>
            <w:noWrap/>
            <w:vAlign w:val="center"/>
          </w:tcPr>
          <w:p w14:paraId="18C973E4">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4</w:t>
            </w:r>
          </w:p>
        </w:tc>
        <w:tc>
          <w:tcPr>
            <w:tcW w:w="959" w:type="pct"/>
            <w:tcBorders>
              <w:top w:val="single" w:color="000000" w:sz="4" w:space="0"/>
              <w:left w:val="single" w:color="000000" w:sz="4" w:space="0"/>
              <w:bottom w:val="single" w:color="000000" w:sz="4" w:space="0"/>
              <w:right w:val="single" w:color="000000" w:sz="4" w:space="0"/>
            </w:tcBorders>
            <w:noWrap/>
            <w:vAlign w:val="center"/>
          </w:tcPr>
          <w:p w14:paraId="694057A6">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2023年9月</w:t>
            </w:r>
          </w:p>
        </w:tc>
        <w:tc>
          <w:tcPr>
            <w:tcW w:w="1695" w:type="pct"/>
            <w:tcBorders>
              <w:top w:val="single" w:color="000000" w:sz="4" w:space="0"/>
              <w:left w:val="single" w:color="000000" w:sz="4" w:space="0"/>
              <w:bottom w:val="single" w:color="000000" w:sz="4" w:space="0"/>
              <w:right w:val="single" w:color="000000" w:sz="4" w:space="0"/>
            </w:tcBorders>
            <w:noWrap/>
            <w:vAlign w:val="center"/>
          </w:tcPr>
          <w:p w14:paraId="2D988BD7">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中国特种设备检测研究院</w:t>
            </w:r>
          </w:p>
        </w:tc>
      </w:tr>
      <w:tr w14:paraId="1E3947F0">
        <w:tblPrEx>
          <w:tblCellMar>
            <w:top w:w="0" w:type="dxa"/>
            <w:left w:w="108" w:type="dxa"/>
            <w:bottom w:w="0" w:type="dxa"/>
            <w:right w:w="108" w:type="dxa"/>
          </w:tblCellMar>
        </w:tblPrEx>
        <w:trPr>
          <w:trHeight w:val="312" w:hRule="atLeast"/>
        </w:trPr>
        <w:tc>
          <w:tcPr>
            <w:tcW w:w="505" w:type="pct"/>
            <w:tcBorders>
              <w:top w:val="single" w:color="000000" w:sz="4" w:space="0"/>
              <w:left w:val="single" w:color="000000" w:sz="4" w:space="0"/>
              <w:bottom w:val="single" w:color="000000" w:sz="4" w:space="0"/>
              <w:right w:val="single" w:color="000000" w:sz="4" w:space="0"/>
            </w:tcBorders>
            <w:noWrap/>
            <w:vAlign w:val="center"/>
          </w:tcPr>
          <w:p w14:paraId="344BD82D">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3</w:t>
            </w:r>
          </w:p>
        </w:tc>
        <w:tc>
          <w:tcPr>
            <w:tcW w:w="931" w:type="pct"/>
            <w:tcBorders>
              <w:top w:val="single" w:color="000000" w:sz="4" w:space="0"/>
              <w:left w:val="single" w:color="000000" w:sz="4" w:space="0"/>
              <w:bottom w:val="single" w:color="000000" w:sz="4" w:space="0"/>
              <w:right w:val="single" w:color="000000" w:sz="4" w:space="0"/>
            </w:tcBorders>
            <w:noWrap/>
            <w:vAlign w:val="center"/>
          </w:tcPr>
          <w:p w14:paraId="435AA407">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2#柴油加氢</w:t>
            </w:r>
          </w:p>
        </w:tc>
        <w:tc>
          <w:tcPr>
            <w:tcW w:w="908" w:type="pct"/>
            <w:tcBorders>
              <w:top w:val="single" w:color="000000" w:sz="4" w:space="0"/>
              <w:left w:val="single" w:color="000000" w:sz="4" w:space="0"/>
              <w:bottom w:val="single" w:color="000000" w:sz="4" w:space="0"/>
              <w:right w:val="single" w:color="000000" w:sz="4" w:space="0"/>
            </w:tcBorders>
            <w:noWrap/>
            <w:vAlign w:val="center"/>
          </w:tcPr>
          <w:p w14:paraId="61416BA3">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3</w:t>
            </w:r>
          </w:p>
        </w:tc>
        <w:tc>
          <w:tcPr>
            <w:tcW w:w="959" w:type="pct"/>
            <w:tcBorders>
              <w:top w:val="single" w:color="000000" w:sz="4" w:space="0"/>
              <w:left w:val="single" w:color="000000" w:sz="4" w:space="0"/>
              <w:bottom w:val="single" w:color="000000" w:sz="4" w:space="0"/>
              <w:right w:val="single" w:color="000000" w:sz="4" w:space="0"/>
            </w:tcBorders>
            <w:noWrap/>
            <w:vAlign w:val="center"/>
          </w:tcPr>
          <w:p w14:paraId="16C81706">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2023年8月投用</w:t>
            </w:r>
          </w:p>
        </w:tc>
        <w:tc>
          <w:tcPr>
            <w:tcW w:w="1695" w:type="pct"/>
            <w:tcBorders>
              <w:top w:val="single" w:color="000000" w:sz="4" w:space="0"/>
              <w:left w:val="single" w:color="000000" w:sz="4" w:space="0"/>
              <w:bottom w:val="single" w:color="000000" w:sz="4" w:space="0"/>
              <w:right w:val="single" w:color="000000" w:sz="4" w:space="0"/>
            </w:tcBorders>
            <w:noWrap/>
            <w:vAlign w:val="center"/>
          </w:tcPr>
          <w:p w14:paraId="6FEAE93E">
            <w:pPr>
              <w:spacing w:line="240" w:lineRule="auto"/>
              <w:jc w:val="center"/>
              <w:textAlignment w:val="center"/>
              <w:rPr>
                <w:rFonts w:hint="eastAsia" w:ascii="宋体" w:hAnsi="宋体" w:cs="宋体"/>
                <w:color w:val="000000"/>
                <w:sz w:val="21"/>
                <w:szCs w:val="21"/>
              </w:rPr>
            </w:pPr>
            <w:r>
              <w:rPr>
                <w:rFonts w:hint="eastAsia" w:ascii="宋体" w:hAnsi="宋体" w:cs="宋体"/>
                <w:color w:val="000000"/>
                <w:kern w:val="0"/>
                <w:sz w:val="21"/>
                <w:szCs w:val="21"/>
                <w:lang w:bidi="ar"/>
              </w:rPr>
              <w:t>-</w:t>
            </w:r>
          </w:p>
        </w:tc>
      </w:tr>
    </w:tbl>
    <w:p w14:paraId="00B06605">
      <w:pPr>
        <w:spacing w:line="240" w:lineRule="auto"/>
        <w:ind w:firstLine="480" w:firstLineChars="200"/>
        <w:jc w:val="both"/>
        <w:rPr>
          <w:rFonts w:hint="default" w:ascii="Times New Roman" w:hAnsi="Times New Roman" w:eastAsia="宋体"/>
          <w:lang w:val="en-US" w:eastAsia="zh-CN"/>
        </w:rPr>
      </w:pPr>
      <w:r>
        <w:rPr>
          <w:rFonts w:hint="eastAsia" w:ascii="Times New Roman" w:hAnsi="Times New Roman"/>
        </w:rPr>
        <w:t>本次所评压力容器</w:t>
      </w:r>
      <w:r>
        <w:rPr>
          <w:rFonts w:hint="eastAsia" w:ascii="Times New Roman" w:hAnsi="Times New Roman"/>
          <w:lang w:val="en-US" w:eastAsia="zh-CN"/>
        </w:rPr>
        <w:t>中，丙烷脱沥青装置多数压力容器已超过设计使用年限，经资料审查，使用单位已经历多次定期检验，并完成超使用年限特种设备使用登记证的更换。</w:t>
      </w:r>
    </w:p>
    <w:p w14:paraId="0D97B55E">
      <w:pPr>
        <w:spacing w:line="240" w:lineRule="auto"/>
        <w:ind w:firstLine="480" w:firstLineChars="200"/>
        <w:jc w:val="both"/>
        <w:rPr>
          <w:rFonts w:hint="eastAsia" w:ascii="Times New Roman" w:hAnsi="Times New Roman"/>
        </w:rPr>
      </w:pPr>
      <w:r>
        <w:rPr>
          <w:rFonts w:hint="eastAsia" w:ascii="Times New Roman" w:hAnsi="Times New Roman"/>
          <w:lang w:val="en-US" w:eastAsia="zh-CN"/>
        </w:rPr>
        <w:t>本次所评丙烷脱沥青装置、</w:t>
      </w:r>
      <w:r>
        <w:rPr>
          <w:rFonts w:hint="eastAsia" w:ascii="Times New Roman" w:hAnsi="Times New Roman"/>
          <w:kern w:val="2"/>
          <w:sz w:val="24"/>
          <w:szCs w:val="24"/>
          <w:lang w:val="en-US" w:eastAsia="zh-CN" w:bidi="ar-SA"/>
        </w:rPr>
        <w:t>2#高档白油加氢装置的</w:t>
      </w:r>
      <w:r>
        <w:rPr>
          <w:rFonts w:hint="eastAsia" w:ascii="Times New Roman" w:hAnsi="Times New Roman"/>
          <w:lang w:val="en-US" w:eastAsia="zh-CN"/>
        </w:rPr>
        <w:t>压力容器，</w:t>
      </w:r>
      <w:r>
        <w:rPr>
          <w:rFonts w:hint="eastAsia" w:ascii="Times New Roman" w:hAnsi="Times New Roman"/>
        </w:rPr>
        <w:t>在最近一次定期检验结果中安全状况等级均为3级</w:t>
      </w:r>
      <w:r>
        <w:rPr>
          <w:rFonts w:hint="eastAsia" w:ascii="Times New Roman" w:hAnsi="Times New Roman"/>
          <w:lang w:val="en-US" w:eastAsia="zh-CN"/>
        </w:rPr>
        <w:t>3年</w:t>
      </w:r>
      <w:r>
        <w:rPr>
          <w:rFonts w:hint="eastAsia" w:ascii="Times New Roman" w:hAnsi="Times New Roman"/>
        </w:rPr>
        <w:t>，主要原因</w:t>
      </w:r>
      <w:r>
        <w:rPr>
          <w:rFonts w:hint="eastAsia" w:ascii="Times New Roman" w:hAnsi="Times New Roman"/>
          <w:lang w:val="en-US" w:eastAsia="zh-CN"/>
        </w:rPr>
        <w:t>为超过设计使用年限且</w:t>
      </w:r>
      <w:r>
        <w:rPr>
          <w:rFonts w:hint="eastAsia" w:ascii="Times New Roman" w:hAnsi="Times New Roman"/>
        </w:rPr>
        <w:t>上次定期检验定级为3级，也有少量设备在检验中发现腐蚀问题，情况如下：</w:t>
      </w:r>
    </w:p>
    <w:p w14:paraId="73B2A5F9">
      <w:pPr>
        <w:spacing w:line="240" w:lineRule="auto"/>
        <w:ind w:firstLine="482" w:firstLineChars="200"/>
        <w:jc w:val="both"/>
        <w:rPr>
          <w:rFonts w:ascii="Times New Roman" w:hAnsi="Times New Roman"/>
        </w:rPr>
      </w:pPr>
      <w:r>
        <w:rPr>
          <w:rFonts w:ascii="Times New Roman" w:hAnsi="Times New Roman"/>
          <w:b/>
          <w:bCs/>
        </w:rPr>
        <w:t>塔-4 沥青蒸发塔</w:t>
      </w:r>
      <w:r>
        <w:rPr>
          <w:rFonts w:hint="eastAsia" w:ascii="Times New Roman" w:hAnsi="Times New Roman"/>
          <w:lang w:val="en-US" w:eastAsia="zh-CN"/>
        </w:rPr>
        <w:t xml:space="preserve"> </w:t>
      </w:r>
      <w:r>
        <w:rPr>
          <w:rFonts w:ascii="Times New Roman" w:hAnsi="Times New Roman"/>
        </w:rPr>
        <w:t>在2023年定期检验中PT内壁检测发现筒体上部东北侧一接管（Φ48碳钢）存在一处3mm的圆形缺陷，存在腐蚀穿孔，使用单位已进行更换。</w:t>
      </w:r>
    </w:p>
    <w:p w14:paraId="4CD90C1E">
      <w:pPr>
        <w:spacing w:line="240" w:lineRule="auto"/>
        <w:ind w:firstLine="480" w:firstLineChars="200"/>
        <w:jc w:val="center"/>
      </w:pPr>
      <w:r>
        <w:pict>
          <v:shape id="_x0000_i1027" o:spt="75" type="#_x0000_t75" style="height:152.35pt;width:120.4pt;" filled="f" o:preferrelative="t" stroked="f" coordsize="21600,21600">
            <v:path/>
            <v:fill on="f" focussize="0,0"/>
            <v:stroke on="f"/>
            <v:imagedata r:id="rId14" o:title=""/>
            <o:lock v:ext="edit" aspectratio="t"/>
            <w10:wrap type="none"/>
            <w10:anchorlock/>
          </v:shape>
        </w:pict>
      </w:r>
    </w:p>
    <w:p w14:paraId="3999AED1">
      <w:pPr>
        <w:spacing w:line="240" w:lineRule="auto"/>
        <w:jc w:val="center"/>
      </w:pPr>
      <w:r>
        <w:rPr>
          <w:rFonts w:hint="eastAsia" w:ascii="Times New Roman" w:hAnsi="Times New Roman"/>
        </w:rPr>
        <w:t>图5-3 沥青蒸发塔腐蚀部位图</w:t>
      </w:r>
    </w:p>
    <w:p w14:paraId="1EBE35B8">
      <w:pPr>
        <w:spacing w:line="240" w:lineRule="auto"/>
        <w:ind w:firstLine="482" w:firstLineChars="200"/>
        <w:jc w:val="both"/>
        <w:rPr>
          <w:rFonts w:ascii="Times New Roman" w:hAnsi="Times New Roman"/>
        </w:rPr>
      </w:pPr>
      <w:r>
        <w:rPr>
          <w:rFonts w:ascii="Times New Roman" w:hAnsi="Times New Roman"/>
          <w:b/>
          <w:bCs/>
        </w:rPr>
        <w:t>旋-4 水洗旋风分离器</w:t>
      </w:r>
      <w:r>
        <w:rPr>
          <w:rFonts w:hint="eastAsia" w:ascii="Times New Roman" w:hAnsi="Times New Roman"/>
          <w:b/>
          <w:bCs/>
        </w:rPr>
        <w:t xml:space="preserve"> </w:t>
      </w:r>
      <w:r>
        <w:rPr>
          <w:rFonts w:ascii="Times New Roman" w:hAnsi="Times New Roman"/>
        </w:rPr>
        <w:t>在2020年定期检验中外壁磁粉检测中发现容器西侧筒体纵缝存在裂纹1道，长度46mm，已经对该部位进行修理，磁粉检测复验合格。2023年定期检验未发现问题。</w:t>
      </w:r>
    </w:p>
    <w:p w14:paraId="4D50ECA9">
      <w:pPr>
        <w:spacing w:line="240" w:lineRule="auto"/>
        <w:ind w:firstLine="480" w:firstLineChars="200"/>
        <w:jc w:val="center"/>
      </w:pPr>
      <w:r>
        <w:pict>
          <v:shape id="_x0000_i1028" o:spt="75" type="#_x0000_t75" style="height:141.75pt;width:113.75pt;" filled="f" o:preferrelative="t" stroked="f" coordsize="21600,21600">
            <v:path/>
            <v:fill on="f" focussize="0,0"/>
            <v:stroke on="f"/>
            <v:imagedata r:id="rId15" o:title=""/>
            <o:lock v:ext="edit" aspectratio="t"/>
            <w10:wrap type="none"/>
            <w10:anchorlock/>
          </v:shape>
        </w:pict>
      </w:r>
      <w:r>
        <w:rPr>
          <w:rFonts w:hint="eastAsia"/>
        </w:rPr>
        <w:t xml:space="preserve">          </w:t>
      </w:r>
      <w:r>
        <w:pict>
          <v:shape id="_x0000_i1029" o:spt="75" type="#_x0000_t75" style="height:141.75pt;width:108.15pt;" filled="f" o:preferrelative="t" stroked="f" coordsize="21600,21600">
            <v:path/>
            <v:fill on="f" focussize="0,0"/>
            <v:stroke on="f"/>
            <v:imagedata r:id="rId16" o:title=""/>
            <o:lock v:ext="edit" aspectratio="t"/>
            <w10:wrap type="none"/>
            <w10:anchorlock/>
          </v:shape>
        </w:pict>
      </w:r>
    </w:p>
    <w:p w14:paraId="3999A653">
      <w:pPr>
        <w:spacing w:line="240" w:lineRule="auto"/>
        <w:ind w:firstLine="480" w:firstLineChars="200"/>
        <w:jc w:val="center"/>
      </w:pPr>
      <w:r>
        <w:rPr>
          <w:rFonts w:hint="eastAsia" w:ascii="Times New Roman" w:hAnsi="Times New Roman"/>
        </w:rPr>
        <w:t>图5-4 水洗旋风分离器腐蚀部位图</w:t>
      </w:r>
    </w:p>
    <w:p w14:paraId="3F418B40">
      <w:pPr>
        <w:spacing w:line="240" w:lineRule="auto"/>
        <w:ind w:firstLine="482" w:firstLineChars="200"/>
        <w:jc w:val="both"/>
        <w:rPr>
          <w:rFonts w:ascii="Times New Roman" w:hAnsi="Times New Roman"/>
        </w:rPr>
      </w:pPr>
      <w:r>
        <w:rPr>
          <w:rFonts w:ascii="Times New Roman" w:hAnsi="Times New Roman"/>
          <w:b/>
          <w:bCs/>
        </w:rPr>
        <w:t>冷-5/2下 丙烷冷却器</w:t>
      </w:r>
      <w:r>
        <w:rPr>
          <w:rFonts w:hint="eastAsia" w:ascii="Times New Roman" w:hAnsi="Times New Roman"/>
          <w:b/>
          <w:bCs/>
        </w:rPr>
        <w:t xml:space="preserve"> </w:t>
      </w:r>
      <w:r>
        <w:rPr>
          <w:rFonts w:ascii="Times New Roman" w:hAnsi="Times New Roman"/>
        </w:rPr>
        <w:t>该设备从2007年定期检验开始，在历次检验（201</w:t>
      </w:r>
      <w:r>
        <w:rPr>
          <w:rFonts w:hint="eastAsia" w:ascii="Times New Roman" w:hAnsi="Times New Roman"/>
        </w:rPr>
        <w:t>1</w:t>
      </w:r>
      <w:r>
        <w:rPr>
          <w:rFonts w:ascii="Times New Roman" w:hAnsi="Times New Roman"/>
        </w:rPr>
        <w:t>年，201</w:t>
      </w:r>
      <w:r>
        <w:rPr>
          <w:rFonts w:hint="eastAsia" w:ascii="Times New Roman" w:hAnsi="Times New Roman"/>
        </w:rPr>
        <w:t>5</w:t>
      </w:r>
      <w:r>
        <w:rPr>
          <w:rFonts w:ascii="Times New Roman" w:hAnsi="Times New Roman"/>
        </w:rPr>
        <w:t>年，201</w:t>
      </w:r>
      <w:r>
        <w:rPr>
          <w:rFonts w:hint="eastAsia" w:ascii="Times New Roman" w:hAnsi="Times New Roman"/>
        </w:rPr>
        <w:t>7</w:t>
      </w:r>
      <w:r>
        <w:rPr>
          <w:rFonts w:ascii="Times New Roman" w:hAnsi="Times New Roman"/>
        </w:rPr>
        <w:t>年）</w:t>
      </w:r>
      <w:r>
        <w:rPr>
          <w:rFonts w:hint="eastAsia" w:ascii="Times New Roman" w:hAnsi="Times New Roman"/>
          <w:lang w:eastAsia="zh-CN"/>
        </w:rPr>
        <w:t>中确定</w:t>
      </w:r>
      <w:r>
        <w:rPr>
          <w:rFonts w:ascii="Times New Roman" w:hAnsi="Times New Roman"/>
        </w:rPr>
        <w:t>壳体有分层现象，经计算与自由表面夹角&lt;10</w:t>
      </w:r>
      <w:r>
        <w:rPr>
          <w:rFonts w:hint="eastAsia" w:ascii="Times New Roman" w:hAnsi="Times New Roman"/>
          <w:lang w:eastAsia="zh-CN"/>
        </w:rPr>
        <w:t>°</w:t>
      </w:r>
      <w:r>
        <w:rPr>
          <w:rFonts w:ascii="Times New Roman" w:hAnsi="Times New Roman"/>
        </w:rPr>
        <w:t>，不影响安全状况等级的评定。下图方框区域为分层部位。</w:t>
      </w:r>
    </w:p>
    <w:p w14:paraId="20C293D4">
      <w:pPr>
        <w:spacing w:line="240" w:lineRule="auto"/>
        <w:ind w:firstLine="480" w:firstLineChars="200"/>
        <w:jc w:val="center"/>
      </w:pPr>
      <w:r>
        <w:pict>
          <v:shape id="_x0000_i1030" o:spt="75" type="#_x0000_t75" style="height:141.75pt;width:246.55pt;" filled="f" o:preferrelative="t" stroked="f" coordsize="21600,21600">
            <v:path/>
            <v:fill on="f" focussize="0,0"/>
            <v:stroke on="f"/>
            <v:imagedata r:id="rId17" o:title=""/>
            <o:lock v:ext="edit" aspectratio="t"/>
            <w10:wrap type="none"/>
            <w10:anchorlock/>
          </v:shape>
        </w:pict>
      </w:r>
    </w:p>
    <w:p w14:paraId="120FE310">
      <w:pPr>
        <w:spacing w:line="240" w:lineRule="auto"/>
        <w:jc w:val="center"/>
      </w:pPr>
      <w:r>
        <w:rPr>
          <w:rFonts w:hint="eastAsia" w:ascii="Times New Roman" w:hAnsi="Times New Roman"/>
        </w:rPr>
        <w:t>图5-5 丙烷冷却器分层部位图</w:t>
      </w:r>
    </w:p>
    <w:p w14:paraId="1A75EA3C">
      <w:pPr>
        <w:spacing w:line="240" w:lineRule="auto"/>
        <w:jc w:val="both"/>
        <w:rPr>
          <w:rFonts w:hint="eastAsia" w:ascii="Times New Roman" w:hAnsi="Times New Roman"/>
          <w:b/>
        </w:rPr>
      </w:pPr>
      <w:r>
        <w:rPr>
          <w:rFonts w:hint="eastAsia" w:ascii="Times New Roman" w:hAnsi="Times New Roman"/>
          <w:b/>
        </w:rPr>
        <w:t>5.3.5 腐蚀分析</w:t>
      </w:r>
    </w:p>
    <w:p w14:paraId="2E0C61B1">
      <w:pPr>
        <w:spacing w:line="240" w:lineRule="auto"/>
        <w:ind w:firstLine="480" w:firstLineChars="200"/>
        <w:jc w:val="both"/>
        <w:rPr>
          <w:rFonts w:ascii="Times New Roman" w:hAnsi="Times New Roman"/>
        </w:rPr>
      </w:pPr>
      <w:r>
        <w:rPr>
          <w:rFonts w:ascii="Times New Roman" w:hAnsi="Times New Roman"/>
        </w:rPr>
        <w:t>通过现场数据采集</w:t>
      </w:r>
      <w:r>
        <w:rPr>
          <w:rFonts w:hint="eastAsia" w:ascii="Times New Roman" w:hAnsi="Times New Roman"/>
        </w:rPr>
        <w:t>、</w:t>
      </w:r>
      <w:r>
        <w:rPr>
          <w:rFonts w:ascii="Times New Roman" w:hAnsi="Times New Roman"/>
        </w:rPr>
        <w:t>腐蚀定性分析以及</w:t>
      </w:r>
      <w:r>
        <w:rPr>
          <w:rFonts w:hint="eastAsia" w:ascii="Times New Roman" w:hAnsi="Times New Roman"/>
        </w:rPr>
        <w:t>与</w:t>
      </w:r>
      <w:r>
        <w:rPr>
          <w:rFonts w:ascii="Times New Roman" w:hAnsi="Times New Roman"/>
        </w:rPr>
        <w:t>装置工作人员的交流，</w:t>
      </w:r>
      <w:r>
        <w:rPr>
          <w:rFonts w:hint="eastAsia" w:ascii="Times New Roman" w:hAnsi="Times New Roman"/>
        </w:rPr>
        <w:t>掌握本次评估范围内压力容器</w:t>
      </w:r>
      <w:r>
        <w:rPr>
          <w:rFonts w:ascii="Times New Roman" w:hAnsi="Times New Roman"/>
        </w:rPr>
        <w:t>的运行情况。经分析得到</w:t>
      </w:r>
      <w:r>
        <w:rPr>
          <w:rFonts w:hint="eastAsia" w:ascii="Times New Roman" w:hAnsi="Times New Roman"/>
        </w:rPr>
        <w:t>评估范围内的重点腐蚀区域为：</w:t>
      </w:r>
      <w:r>
        <w:rPr>
          <w:rFonts w:hint="eastAsia" w:ascii="Times New Roman" w:hAnsi="Times New Roman"/>
          <w:bCs/>
          <w:color w:val="000000"/>
        </w:rPr>
        <w:t>（1）</w:t>
      </w:r>
      <w:bookmarkStart w:id="71" w:name="_Hlk233730766"/>
      <w:r>
        <w:rPr>
          <w:rFonts w:hint="eastAsia" w:ascii="Times New Roman" w:hAnsi="Times New Roman"/>
          <w:bCs/>
          <w:color w:val="000000"/>
        </w:rPr>
        <w:t>临界塔顶临界丙烷系统</w:t>
      </w:r>
      <w:bookmarkEnd w:id="71"/>
      <w:r>
        <w:rPr>
          <w:rFonts w:hint="eastAsia" w:ascii="Times New Roman" w:hAnsi="Times New Roman"/>
          <w:bCs/>
          <w:color w:val="000000"/>
        </w:rPr>
        <w:t>；（2）</w:t>
      </w:r>
      <w:bookmarkStart w:id="72" w:name="_Hlk233730781"/>
      <w:r>
        <w:rPr>
          <w:rFonts w:hint="eastAsia" w:ascii="Times New Roman" w:hAnsi="Times New Roman"/>
          <w:bCs/>
          <w:color w:val="000000"/>
        </w:rPr>
        <w:t>沥青汽提塔底系统</w:t>
      </w:r>
      <w:bookmarkEnd w:id="72"/>
      <w:r>
        <w:rPr>
          <w:rFonts w:hint="eastAsia" w:ascii="Times New Roman" w:hAnsi="Times New Roman"/>
        </w:rPr>
        <w:t>。</w:t>
      </w:r>
    </w:p>
    <w:p w14:paraId="01D80ECE">
      <w:pPr>
        <w:spacing w:line="240" w:lineRule="auto"/>
        <w:ind w:firstLine="482" w:firstLineChars="200"/>
        <w:jc w:val="both"/>
        <w:rPr>
          <w:rFonts w:hint="eastAsia" w:ascii="Times New Roman" w:hAnsi="Times New Roman"/>
        </w:rPr>
      </w:pPr>
      <w:r>
        <w:rPr>
          <w:rFonts w:hint="eastAsia" w:ascii="黑体" w:hAnsi="黑体" w:eastAsia="黑体"/>
          <w:b/>
          <w:bCs/>
        </w:rPr>
        <w:t>临界塔顶临界丙烷系统</w:t>
      </w:r>
      <w:r>
        <w:rPr>
          <w:rFonts w:hint="eastAsia" w:ascii="Times New Roman" w:hAnsi="Times New Roman"/>
        </w:rPr>
        <w:t>：轻脱沥青油溶液，进入E-2与塔C-2/1顶出来的临界丙烷换热后，经E-11与高温原料换热后，再经E-4/1用蒸汽加热到丙烷临界温度后进入塔C-2/1进行沉降分离。塔C-2/1顶出来的临界丙烷经E-2、E-1（若只开一套，可再进E-8/1）换热后，进入E-1/1、E-1/2、E-2/1、E-2/2。</w:t>
      </w:r>
    </w:p>
    <w:p w14:paraId="4F2EDF91">
      <w:pPr>
        <w:spacing w:line="240" w:lineRule="auto"/>
        <w:ind w:firstLine="480" w:firstLineChars="200"/>
        <w:jc w:val="center"/>
      </w:pPr>
      <w:r>
        <w:pict>
          <v:shape id="_x0000_i1031" o:spt="75" alt="未命名文件" type="#_x0000_t75" style="height:138.9pt;width:412.25pt;" filled="f" o:preferrelative="t" stroked="f" coordsize="21600,21600">
            <v:path/>
            <v:fill on="f" focussize="0,0"/>
            <v:stroke on="f"/>
            <v:imagedata r:id="rId18" o:title="未命名文件"/>
            <o:lock v:ext="edit" aspectratio="t"/>
            <w10:wrap type="none"/>
            <w10:anchorlock/>
          </v:shape>
        </w:pict>
      </w:r>
    </w:p>
    <w:p w14:paraId="3853957C">
      <w:pPr>
        <w:spacing w:line="240" w:lineRule="auto"/>
        <w:ind w:firstLine="480" w:firstLineChars="200"/>
        <w:jc w:val="center"/>
        <w:rPr>
          <w:rFonts w:ascii="Times New Roman" w:hAnsi="Times New Roman"/>
        </w:rPr>
      </w:pPr>
      <w:r>
        <w:rPr>
          <w:rFonts w:hint="eastAsia" w:ascii="Times New Roman" w:hAnsi="Times New Roman"/>
        </w:rPr>
        <w:t>图5-6 临界丙烷重点腐蚀流</w:t>
      </w:r>
    </w:p>
    <w:p w14:paraId="1796F9CC">
      <w:pPr>
        <w:spacing w:line="240" w:lineRule="auto"/>
        <w:ind w:firstLine="480" w:firstLineChars="200"/>
        <w:jc w:val="center"/>
        <w:rPr>
          <w:rFonts w:hint="eastAsia"/>
        </w:rPr>
      </w:pPr>
    </w:p>
    <w:p w14:paraId="56DCD57C">
      <w:pPr>
        <w:spacing w:line="240" w:lineRule="auto"/>
        <w:ind w:firstLine="482" w:firstLineChars="200"/>
        <w:jc w:val="both"/>
        <w:rPr>
          <w:rFonts w:hint="eastAsia" w:ascii="Times New Roman" w:hAnsi="Times New Roman"/>
        </w:rPr>
      </w:pPr>
      <w:r>
        <w:rPr>
          <w:rFonts w:hint="eastAsia" w:ascii="黑体" w:hAnsi="黑体" w:eastAsia="黑体"/>
          <w:b/>
          <w:bCs/>
        </w:rPr>
        <w:t>沥青汽提塔底</w:t>
      </w:r>
      <w:r>
        <w:rPr>
          <w:rFonts w:hint="eastAsia" w:ascii="Times New Roman" w:hAnsi="Times New Roman"/>
        </w:rPr>
        <w:t>：高温沥青油经泵P-5送至E-8/2与沥青溶液换热，再经E-6出装置。该部位操作温度在整个装置中处于高位，主要腐蚀机理为高温硫/环烷酸腐蚀，主要腐蚀部位是在塔底部及塔底出口这些高温部位流经的设备、管道。</w:t>
      </w:r>
    </w:p>
    <w:p w14:paraId="56C2626E">
      <w:pPr>
        <w:spacing w:line="240" w:lineRule="auto"/>
        <w:ind w:firstLine="480" w:firstLineChars="200"/>
        <w:jc w:val="center"/>
        <w:rPr>
          <w:rFonts w:hint="eastAsia" w:ascii="Times New Roman" w:hAnsi="Times New Roman"/>
        </w:rPr>
      </w:pPr>
      <w:r>
        <w:pict>
          <v:shape id="_x0000_i1032" o:spt="75" type="#_x0000_t75" style="height:123.25pt;width:404.95pt;" filled="f" o:preferrelative="t" stroked="f" coordsize="21600,21600">
            <v:path/>
            <v:fill on="f" focussize="0,0"/>
            <v:stroke on="f"/>
            <v:imagedata r:id="rId19" o:title=""/>
            <o:lock v:ext="edit" aspectratio="t"/>
            <w10:wrap type="none"/>
            <w10:anchorlock/>
          </v:shape>
        </w:pict>
      </w:r>
    </w:p>
    <w:p w14:paraId="32965DDC">
      <w:pPr>
        <w:spacing w:line="240" w:lineRule="auto"/>
        <w:ind w:firstLine="480" w:firstLineChars="200"/>
        <w:jc w:val="center"/>
        <w:rPr>
          <w:rFonts w:hint="eastAsia" w:ascii="Times New Roman" w:hAnsi="Times New Roman"/>
        </w:rPr>
      </w:pPr>
      <w:r>
        <w:rPr>
          <w:rFonts w:hint="eastAsia" w:ascii="Times New Roman" w:hAnsi="Times New Roman"/>
        </w:rPr>
        <w:t>图5-7 塔底沥青系统重点腐蚀流</w:t>
      </w:r>
    </w:p>
    <w:p w14:paraId="653EDDB5">
      <w:pPr>
        <w:pStyle w:val="2"/>
        <w:numPr>
          <w:ilvl w:val="0"/>
          <w:numId w:val="3"/>
        </w:numPr>
        <w:spacing w:before="230" w:after="230" w:line="240" w:lineRule="auto"/>
      </w:pPr>
      <w:bookmarkStart w:id="73" w:name="_Toc327251568"/>
      <w:bookmarkStart w:id="74" w:name="_Toc326850002"/>
      <w:bookmarkStart w:id="75" w:name="_Toc480551523"/>
      <w:bookmarkStart w:id="76" w:name="_Toc326585993"/>
      <w:bookmarkStart w:id="77" w:name="_Toc325294282"/>
      <w:bookmarkStart w:id="78" w:name="_Toc31213"/>
      <w:bookmarkStart w:id="79" w:name="_Toc326808355"/>
      <w:bookmarkStart w:id="80" w:name="_Toc102149422"/>
      <w:bookmarkStart w:id="81" w:name="_Toc68772924"/>
      <w:bookmarkStart w:id="82" w:name="_Toc98261463"/>
      <w:r>
        <w:t>物流划分</w:t>
      </w:r>
      <w:bookmarkEnd w:id="73"/>
      <w:bookmarkEnd w:id="74"/>
      <w:bookmarkEnd w:id="75"/>
      <w:bookmarkEnd w:id="76"/>
      <w:bookmarkEnd w:id="77"/>
      <w:bookmarkEnd w:id="78"/>
      <w:bookmarkEnd w:id="79"/>
    </w:p>
    <w:p w14:paraId="03925B3B">
      <w:pPr>
        <w:spacing w:line="240" w:lineRule="auto"/>
        <w:ind w:firstLine="480" w:firstLineChars="200"/>
        <w:rPr>
          <w:rFonts w:ascii="Times New Roman" w:hAnsi="Times New Roman"/>
          <w:lang w:val="zh-CN"/>
        </w:rPr>
      </w:pPr>
      <w:r>
        <w:rPr>
          <w:rFonts w:ascii="Times New Roman" w:hAnsi="Times New Roman"/>
          <w:lang w:val="zh-CN"/>
        </w:rPr>
        <w:t>按照装置的工艺流程划分物流，物流</w:t>
      </w:r>
      <w:r>
        <w:rPr>
          <w:rFonts w:hint="eastAsia" w:ascii="Times New Roman" w:hAnsi="Times New Roman"/>
          <w:lang w:val="zh-CN"/>
        </w:rPr>
        <w:t>组分的</w:t>
      </w:r>
      <w:r>
        <w:rPr>
          <w:rFonts w:ascii="Times New Roman" w:hAnsi="Times New Roman"/>
          <w:lang w:val="zh-CN"/>
        </w:rPr>
        <w:t>来源及确定主要通过装置初始工艺设计资料、馏程以及采样等。微量的工艺杂质可能会导致设备或管道产生腐蚀，如H</w:t>
      </w:r>
      <w:r>
        <w:rPr>
          <w:rFonts w:ascii="Times New Roman" w:hAnsi="Times New Roman"/>
          <w:vertAlign w:val="subscript"/>
          <w:lang w:val="zh-CN"/>
        </w:rPr>
        <w:t>2</w:t>
      </w:r>
      <w:r>
        <w:rPr>
          <w:rFonts w:ascii="Times New Roman" w:hAnsi="Times New Roman"/>
          <w:lang w:val="zh-CN"/>
        </w:rPr>
        <w:t>S、RSH、</w:t>
      </w:r>
      <w:r>
        <w:rPr>
          <w:rFonts w:hint="eastAsia" w:ascii="Times New Roman" w:hAnsi="Times New Roman"/>
        </w:rPr>
        <w:t>环烷酸</w:t>
      </w:r>
      <w:r>
        <w:rPr>
          <w:rFonts w:ascii="Times New Roman" w:hAnsi="Times New Roman"/>
          <w:lang w:val="zh-CN"/>
        </w:rPr>
        <w:t>、水等，这些数据通过装置工艺人员采样得到，对于无法采样的，则一般通过工艺人员与RBI现场数据采集人员的讨论，确定是否含少量腐蚀性有害杂质，并根据工艺情况，估计其含量。</w:t>
      </w:r>
      <w:r>
        <w:rPr>
          <w:rFonts w:ascii="Times New Roman" w:hAnsi="Times New Roman"/>
          <w:bCs/>
        </w:rPr>
        <w:t>物流组分详见表</w:t>
      </w:r>
      <w:r>
        <w:rPr>
          <w:rFonts w:hint="eastAsia" w:ascii="Times New Roman" w:hAnsi="Times New Roman"/>
          <w:bCs/>
        </w:rPr>
        <w:t>6</w:t>
      </w:r>
      <w:r>
        <w:rPr>
          <w:rFonts w:ascii="Times New Roman" w:hAnsi="Times New Roman"/>
          <w:bCs/>
        </w:rPr>
        <w:t xml:space="preserve">-1 </w:t>
      </w:r>
      <w:r>
        <w:rPr>
          <w:rFonts w:hint="eastAsia" w:ascii="Times New Roman" w:hAnsi="Times New Roman"/>
          <w:bCs/>
        </w:rPr>
        <w:t>（</w:t>
      </w:r>
      <w:r>
        <w:rPr>
          <w:rFonts w:ascii="Times New Roman" w:hAnsi="Times New Roman"/>
          <w:bCs/>
        </w:rPr>
        <w:t>wt%</w:t>
      </w:r>
      <w:r>
        <w:rPr>
          <w:rFonts w:hint="eastAsia" w:ascii="Times New Roman" w:hAnsi="Times New Roman"/>
          <w:bCs/>
        </w:rPr>
        <w:t>)</w:t>
      </w:r>
      <w:r>
        <w:rPr>
          <w:rFonts w:ascii="Times New Roman" w:hAnsi="Times New Roman"/>
          <w:bCs/>
        </w:rPr>
        <w:t>。</w:t>
      </w:r>
    </w:p>
    <w:p w14:paraId="118CA49B">
      <w:pPr>
        <w:autoSpaceDE w:val="0"/>
        <w:autoSpaceDN w:val="0"/>
        <w:adjustRightInd w:val="0"/>
        <w:spacing w:line="240" w:lineRule="auto"/>
        <w:rPr>
          <w:rFonts w:hint="eastAsia" w:ascii="Times New Roman" w:hAnsi="Times New Roman"/>
          <w:bCs/>
        </w:rPr>
        <w:sectPr>
          <w:pgSz w:w="11906" w:h="16838"/>
          <w:pgMar w:top="1418" w:right="1418" w:bottom="1418" w:left="1701" w:header="1134" w:footer="1134" w:gutter="0"/>
          <w:pgNumType w:start="1"/>
          <w:cols w:space="720" w:num="1"/>
          <w:docGrid w:type="lines" w:linePitch="460" w:charSpace="0"/>
        </w:sectPr>
      </w:pPr>
    </w:p>
    <w:p w14:paraId="4D80CBD8">
      <w:pPr>
        <w:autoSpaceDE w:val="0"/>
        <w:autoSpaceDN w:val="0"/>
        <w:adjustRightInd w:val="0"/>
        <w:snapToGrid w:val="0"/>
        <w:spacing w:line="240" w:lineRule="auto"/>
        <w:jc w:val="center"/>
        <w:rPr>
          <w:rFonts w:hint="eastAsia" w:ascii="Times New Roman" w:hAnsi="Times New Roman"/>
          <w:bCs/>
        </w:rPr>
      </w:pPr>
      <w:r>
        <w:rPr>
          <w:rFonts w:ascii="Times New Roman" w:hAnsi="Times New Roman"/>
          <w:bCs/>
        </w:rPr>
        <w:t>表</w:t>
      </w:r>
      <w:r>
        <w:rPr>
          <w:rFonts w:hint="eastAsia" w:ascii="Times New Roman" w:hAnsi="Times New Roman"/>
          <w:bCs/>
        </w:rPr>
        <w:t>6</w:t>
      </w:r>
      <w:r>
        <w:rPr>
          <w:rFonts w:ascii="Times New Roman" w:hAnsi="Times New Roman"/>
          <w:bCs/>
        </w:rPr>
        <w:t>-1物流表</w:t>
      </w:r>
      <w:r>
        <w:rPr>
          <w:rFonts w:hint="eastAsia" w:ascii="Times New Roman" w:hAnsi="Times New Roman"/>
          <w:bCs/>
        </w:rPr>
        <w:t>（wt%）</w:t>
      </w:r>
    </w:p>
    <w:tbl>
      <w:tblPr>
        <w:tblStyle w:val="30"/>
        <w:tblW w:w="4997" w:type="pct"/>
        <w:tblInd w:w="0" w:type="dxa"/>
        <w:tblLayout w:type="autofit"/>
        <w:tblCellMar>
          <w:top w:w="0" w:type="dxa"/>
          <w:left w:w="108" w:type="dxa"/>
          <w:bottom w:w="0" w:type="dxa"/>
          <w:right w:w="108" w:type="dxa"/>
        </w:tblCellMar>
      </w:tblPr>
      <w:tblGrid>
        <w:gridCol w:w="1086"/>
        <w:gridCol w:w="1964"/>
        <w:gridCol w:w="1094"/>
        <w:gridCol w:w="466"/>
        <w:gridCol w:w="733"/>
        <w:gridCol w:w="733"/>
        <w:gridCol w:w="568"/>
        <w:gridCol w:w="733"/>
        <w:gridCol w:w="832"/>
        <w:gridCol w:w="931"/>
        <w:gridCol w:w="931"/>
        <w:gridCol w:w="663"/>
        <w:gridCol w:w="466"/>
        <w:gridCol w:w="861"/>
        <w:gridCol w:w="861"/>
        <w:gridCol w:w="740"/>
        <w:gridCol w:w="864"/>
        <w:gridCol w:w="874"/>
        <w:gridCol w:w="510"/>
      </w:tblGrid>
      <w:tr w14:paraId="668D8700">
        <w:tblPrEx>
          <w:tblCellMar>
            <w:top w:w="0" w:type="dxa"/>
            <w:left w:w="108" w:type="dxa"/>
            <w:bottom w:w="0" w:type="dxa"/>
            <w:right w:w="108" w:type="dxa"/>
          </w:tblCellMar>
        </w:tblPrEx>
        <w:trPr>
          <w:trHeight w:val="285" w:hRule="atLeast"/>
          <w:tblHeader/>
        </w:trPr>
        <w:tc>
          <w:tcPr>
            <w:tcW w:w="341" w:type="pct"/>
            <w:tcBorders>
              <w:top w:val="single" w:color="000000" w:sz="4" w:space="0"/>
              <w:left w:val="single" w:color="000000" w:sz="4" w:space="0"/>
              <w:bottom w:val="single" w:color="000000" w:sz="4" w:space="0"/>
              <w:right w:val="single" w:color="000000" w:sz="4" w:space="0"/>
            </w:tcBorders>
            <w:noWrap/>
            <w:vAlign w:val="center"/>
          </w:tcPr>
          <w:p w14:paraId="0F6CFED0">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物流编号</w:t>
            </w:r>
          </w:p>
        </w:tc>
        <w:tc>
          <w:tcPr>
            <w:tcW w:w="616" w:type="pct"/>
            <w:tcBorders>
              <w:top w:val="single" w:color="000000" w:sz="4" w:space="0"/>
              <w:left w:val="single" w:color="000000" w:sz="4" w:space="0"/>
              <w:bottom w:val="single" w:color="000000" w:sz="4" w:space="0"/>
              <w:right w:val="single" w:color="000000" w:sz="4" w:space="0"/>
            </w:tcBorders>
            <w:noWrap/>
            <w:vAlign w:val="center"/>
          </w:tcPr>
          <w:p w14:paraId="4C993394">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物流名称</w:t>
            </w:r>
          </w:p>
        </w:tc>
        <w:tc>
          <w:tcPr>
            <w:tcW w:w="343" w:type="pct"/>
            <w:tcBorders>
              <w:top w:val="single" w:color="000000" w:sz="4" w:space="0"/>
              <w:left w:val="single" w:color="000000" w:sz="4" w:space="0"/>
              <w:bottom w:val="single" w:color="000000" w:sz="4" w:space="0"/>
              <w:right w:val="single" w:color="000000" w:sz="4" w:space="0"/>
            </w:tcBorders>
            <w:noWrap/>
            <w:vAlign w:val="center"/>
          </w:tcPr>
          <w:p w14:paraId="0866C20E">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典型物流</w:t>
            </w:r>
          </w:p>
        </w:tc>
        <w:tc>
          <w:tcPr>
            <w:tcW w:w="146" w:type="pct"/>
            <w:tcBorders>
              <w:top w:val="single" w:color="000000" w:sz="4" w:space="0"/>
              <w:left w:val="single" w:color="000000" w:sz="4" w:space="0"/>
              <w:bottom w:val="single" w:color="000000" w:sz="4" w:space="0"/>
              <w:right w:val="single" w:color="000000" w:sz="4" w:space="0"/>
            </w:tcBorders>
            <w:noWrap/>
            <w:vAlign w:val="center"/>
          </w:tcPr>
          <w:p w14:paraId="22D0D2B5">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PH</w:t>
            </w:r>
          </w:p>
        </w:tc>
        <w:tc>
          <w:tcPr>
            <w:tcW w:w="230" w:type="pct"/>
            <w:tcBorders>
              <w:top w:val="single" w:color="000000" w:sz="4" w:space="0"/>
              <w:left w:val="single" w:color="000000" w:sz="4" w:space="0"/>
              <w:bottom w:val="single" w:color="000000" w:sz="4" w:space="0"/>
              <w:right w:val="single" w:color="000000" w:sz="4" w:space="0"/>
            </w:tcBorders>
            <w:noWrap/>
            <w:vAlign w:val="center"/>
          </w:tcPr>
          <w:p w14:paraId="1B9F5663">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C1-C2</w:t>
            </w:r>
          </w:p>
        </w:tc>
        <w:tc>
          <w:tcPr>
            <w:tcW w:w="230" w:type="pct"/>
            <w:tcBorders>
              <w:top w:val="single" w:color="000000" w:sz="4" w:space="0"/>
              <w:left w:val="single" w:color="000000" w:sz="4" w:space="0"/>
              <w:bottom w:val="single" w:color="000000" w:sz="4" w:space="0"/>
              <w:right w:val="single" w:color="000000" w:sz="4" w:space="0"/>
            </w:tcBorders>
            <w:noWrap/>
            <w:vAlign w:val="center"/>
          </w:tcPr>
          <w:p w14:paraId="5D76B5CB">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C3-C4</w:t>
            </w:r>
          </w:p>
        </w:tc>
        <w:tc>
          <w:tcPr>
            <w:tcW w:w="178" w:type="pct"/>
            <w:tcBorders>
              <w:top w:val="single" w:color="000000" w:sz="4" w:space="0"/>
              <w:left w:val="single" w:color="000000" w:sz="4" w:space="0"/>
              <w:bottom w:val="single" w:color="000000" w:sz="4" w:space="0"/>
              <w:right w:val="single" w:color="000000" w:sz="4" w:space="0"/>
            </w:tcBorders>
            <w:noWrap/>
            <w:vAlign w:val="center"/>
          </w:tcPr>
          <w:p w14:paraId="0513D589">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C5</w:t>
            </w:r>
          </w:p>
        </w:tc>
        <w:tc>
          <w:tcPr>
            <w:tcW w:w="230" w:type="pct"/>
            <w:tcBorders>
              <w:top w:val="single" w:color="000000" w:sz="4" w:space="0"/>
              <w:left w:val="single" w:color="000000" w:sz="4" w:space="0"/>
              <w:bottom w:val="single" w:color="000000" w:sz="4" w:space="0"/>
              <w:right w:val="single" w:color="000000" w:sz="4" w:space="0"/>
            </w:tcBorders>
            <w:noWrap/>
            <w:vAlign w:val="center"/>
          </w:tcPr>
          <w:p w14:paraId="661404EB">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C6-C8</w:t>
            </w:r>
          </w:p>
        </w:tc>
        <w:tc>
          <w:tcPr>
            <w:tcW w:w="261" w:type="pct"/>
            <w:tcBorders>
              <w:top w:val="single" w:color="000000" w:sz="4" w:space="0"/>
              <w:left w:val="single" w:color="000000" w:sz="4" w:space="0"/>
              <w:bottom w:val="single" w:color="000000" w:sz="4" w:space="0"/>
              <w:right w:val="single" w:color="000000" w:sz="4" w:space="0"/>
            </w:tcBorders>
            <w:noWrap/>
            <w:vAlign w:val="center"/>
          </w:tcPr>
          <w:p w14:paraId="6B19877B">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C9-C12</w:t>
            </w:r>
          </w:p>
        </w:tc>
        <w:tc>
          <w:tcPr>
            <w:tcW w:w="292" w:type="pct"/>
            <w:tcBorders>
              <w:top w:val="single" w:color="000000" w:sz="4" w:space="0"/>
              <w:left w:val="single" w:color="000000" w:sz="4" w:space="0"/>
              <w:bottom w:val="single" w:color="000000" w:sz="4" w:space="0"/>
              <w:right w:val="single" w:color="000000" w:sz="4" w:space="0"/>
            </w:tcBorders>
            <w:noWrap/>
            <w:vAlign w:val="center"/>
          </w:tcPr>
          <w:p w14:paraId="553881CE">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C13-C16</w:t>
            </w:r>
          </w:p>
        </w:tc>
        <w:tc>
          <w:tcPr>
            <w:tcW w:w="292" w:type="pct"/>
            <w:tcBorders>
              <w:top w:val="single" w:color="000000" w:sz="4" w:space="0"/>
              <w:left w:val="single" w:color="000000" w:sz="4" w:space="0"/>
              <w:bottom w:val="single" w:color="000000" w:sz="4" w:space="0"/>
              <w:right w:val="single" w:color="000000" w:sz="4" w:space="0"/>
            </w:tcBorders>
            <w:noWrap/>
            <w:vAlign w:val="center"/>
          </w:tcPr>
          <w:p w14:paraId="7C28D42D">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C17-C25</w:t>
            </w:r>
          </w:p>
        </w:tc>
        <w:tc>
          <w:tcPr>
            <w:tcW w:w="208" w:type="pct"/>
            <w:tcBorders>
              <w:top w:val="single" w:color="000000" w:sz="4" w:space="0"/>
              <w:left w:val="single" w:color="000000" w:sz="4" w:space="0"/>
              <w:bottom w:val="single" w:color="000000" w:sz="4" w:space="0"/>
              <w:right w:val="single" w:color="000000" w:sz="4" w:space="0"/>
            </w:tcBorders>
            <w:noWrap/>
            <w:vAlign w:val="center"/>
          </w:tcPr>
          <w:p w14:paraId="05278F38">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center"/>
          </w:tcPr>
          <w:p w14:paraId="40E41B3C">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H2</w:t>
            </w:r>
          </w:p>
        </w:tc>
        <w:tc>
          <w:tcPr>
            <w:tcW w:w="270" w:type="pct"/>
            <w:tcBorders>
              <w:top w:val="single" w:color="000000" w:sz="4" w:space="0"/>
              <w:left w:val="single" w:color="000000" w:sz="4" w:space="0"/>
              <w:bottom w:val="single" w:color="000000" w:sz="4" w:space="0"/>
              <w:right w:val="single" w:color="000000" w:sz="4" w:space="0"/>
            </w:tcBorders>
            <w:noWrap/>
            <w:vAlign w:val="center"/>
          </w:tcPr>
          <w:p w14:paraId="6D3F790B">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H2S</w:t>
            </w:r>
          </w:p>
        </w:tc>
        <w:tc>
          <w:tcPr>
            <w:tcW w:w="270" w:type="pct"/>
            <w:tcBorders>
              <w:top w:val="single" w:color="000000" w:sz="4" w:space="0"/>
              <w:left w:val="single" w:color="000000" w:sz="4" w:space="0"/>
              <w:bottom w:val="single" w:color="000000" w:sz="4" w:space="0"/>
              <w:right w:val="single" w:color="000000" w:sz="4" w:space="0"/>
            </w:tcBorders>
            <w:noWrap/>
            <w:vAlign w:val="center"/>
          </w:tcPr>
          <w:p w14:paraId="436B27B8">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NH3</w:t>
            </w:r>
          </w:p>
        </w:tc>
        <w:tc>
          <w:tcPr>
            <w:tcW w:w="232" w:type="pct"/>
            <w:tcBorders>
              <w:top w:val="single" w:color="000000" w:sz="4" w:space="0"/>
              <w:left w:val="single" w:color="000000" w:sz="4" w:space="0"/>
              <w:bottom w:val="single" w:color="000000" w:sz="4" w:space="0"/>
              <w:right w:val="single" w:color="000000" w:sz="4" w:space="0"/>
            </w:tcBorders>
            <w:noWrap/>
            <w:vAlign w:val="center"/>
          </w:tcPr>
          <w:p w14:paraId="35CB35F0">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NAOH</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3904821">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H2O</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C5F27F">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硫化物</w:t>
            </w:r>
          </w:p>
        </w:tc>
        <w:tc>
          <w:tcPr>
            <w:tcW w:w="160" w:type="pct"/>
            <w:tcBorders>
              <w:top w:val="single" w:color="000000" w:sz="4" w:space="0"/>
              <w:left w:val="single" w:color="000000" w:sz="4" w:space="0"/>
              <w:bottom w:val="single" w:color="000000" w:sz="4" w:space="0"/>
              <w:right w:val="single" w:color="000000" w:sz="4" w:space="0"/>
            </w:tcBorders>
            <w:noWrap/>
            <w:vAlign w:val="center"/>
          </w:tcPr>
          <w:p w14:paraId="017D2DBC">
            <w:pPr>
              <w:snapToGrid w:val="0"/>
              <w:ind w:left="-120" w:leftChars="-50" w:right="-120" w:rightChars="-50"/>
              <w:jc w:val="center"/>
              <w:textAlignment w:val="center"/>
              <w:rPr>
                <w:rFonts w:cs="Arial Narrow"/>
                <w:b/>
                <w:bCs/>
                <w:color w:val="000000"/>
                <w:sz w:val="21"/>
                <w:szCs w:val="21"/>
              </w:rPr>
            </w:pPr>
            <w:r>
              <w:rPr>
                <w:rFonts w:cs="Arial Narrow"/>
                <w:b/>
                <w:bCs/>
                <w:color w:val="000000"/>
                <w:kern w:val="0"/>
                <w:sz w:val="21"/>
                <w:szCs w:val="21"/>
                <w:lang w:bidi="ar"/>
              </w:rPr>
              <w:t>Air</w:t>
            </w:r>
          </w:p>
        </w:tc>
      </w:tr>
      <w:tr w14:paraId="347F7B53">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3C1C169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BW-01</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4C3C955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水/蒸汽</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27FAAE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H2O</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F230F7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5B92C7C">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F18521B">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246767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271853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64BFF0FE">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B0E8EDE">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A20DD40">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580D4D12">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9AB03A3">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CFD05B4">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C08A357">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7BA4BC78">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943AE6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0F2B09A1">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3648371">
            <w:pPr>
              <w:snapToGrid w:val="0"/>
              <w:ind w:left="-120" w:leftChars="-50" w:right="-120" w:rightChars="-50"/>
              <w:jc w:val="center"/>
              <w:rPr>
                <w:rFonts w:cs="Arial Narrow"/>
                <w:color w:val="000000"/>
                <w:sz w:val="21"/>
                <w:szCs w:val="21"/>
              </w:rPr>
            </w:pPr>
          </w:p>
        </w:tc>
      </w:tr>
      <w:tr w14:paraId="02CBCE8A">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27F7B6A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BW-02</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4FCEBCC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空气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525FB07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H2O</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1ED8E5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E2ECC5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857F0BF">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A7F18E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5296F0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0F92B23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1C70A57">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59AFE83">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64198921">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7F61B7D">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F47A7A6">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525F249">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4E1B215F">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12037FD2">
            <w:pPr>
              <w:snapToGrid w:val="0"/>
              <w:ind w:left="-120" w:leftChars="-50" w:right="-120" w:rightChars="-50"/>
              <w:jc w:val="center"/>
              <w:rPr>
                <w:rFonts w:cs="Arial Narrow"/>
                <w:color w:val="000000"/>
                <w:sz w:val="21"/>
                <w:szCs w:val="21"/>
              </w:rPr>
            </w:pP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2B8285E0">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7BC2287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r>
      <w:tr w14:paraId="17760F95">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4CA393C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BW-03</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67FD25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循环水</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327D255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H2O</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D308A2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692551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9A9ED3B">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907380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D4FDCA8">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72579BB">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57018087">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0A0C5F7">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2DCCE482">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C7E6AF2">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166E5F0">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63BBA95">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2665A2BA">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A2DA72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222A51B4">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22C8F5F4">
            <w:pPr>
              <w:snapToGrid w:val="0"/>
              <w:ind w:left="-120" w:leftChars="-50" w:right="-120" w:rightChars="-50"/>
              <w:jc w:val="center"/>
              <w:rPr>
                <w:rFonts w:cs="Arial Narrow"/>
                <w:color w:val="000000"/>
                <w:sz w:val="21"/>
                <w:szCs w:val="21"/>
              </w:rPr>
            </w:pPr>
          </w:p>
        </w:tc>
      </w:tr>
      <w:tr w14:paraId="512EC817">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12F058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BW-04</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E1E120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减压渣油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2750EE3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7BD32B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9E278C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F3A2BDB">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7CDA695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BF0ECD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45426BF">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5596EC0">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6A04C446">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084A0DC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96.93</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9E682CA">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0AFA91D">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ECA3693">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723CCA6C">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13555CD">
            <w:pPr>
              <w:snapToGrid w:val="0"/>
              <w:ind w:left="-120" w:leftChars="-50" w:right="-120" w:rightChars="-50"/>
              <w:jc w:val="center"/>
              <w:rPr>
                <w:rFonts w:cs="Arial Narrow"/>
                <w:color w:val="000000"/>
                <w:sz w:val="21"/>
                <w:szCs w:val="21"/>
              </w:rPr>
            </w:pP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3A0B30D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3.07</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2B09AD3">
            <w:pPr>
              <w:snapToGrid w:val="0"/>
              <w:ind w:left="-120" w:leftChars="-50" w:right="-120" w:rightChars="-50"/>
              <w:jc w:val="center"/>
              <w:rPr>
                <w:rFonts w:cs="Arial Narrow"/>
                <w:color w:val="000000"/>
                <w:sz w:val="21"/>
                <w:szCs w:val="21"/>
              </w:rPr>
            </w:pPr>
          </w:p>
        </w:tc>
      </w:tr>
      <w:tr w14:paraId="79D3499F">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D2F801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BW-05</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7786EB6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丙烷</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5101E55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3805D4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1119318">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965C3F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80A0340">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414F69A">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1C2212A7">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6A78218E">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1227740">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48A3DAA4">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3145835">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A6E494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752A1CC">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5BE18FB">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6BB68A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43EFBC3D">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FCFB781">
            <w:pPr>
              <w:snapToGrid w:val="0"/>
              <w:ind w:left="-120" w:leftChars="-50" w:right="-120" w:rightChars="-50"/>
              <w:jc w:val="center"/>
              <w:rPr>
                <w:rFonts w:cs="Arial Narrow"/>
                <w:color w:val="000000"/>
                <w:sz w:val="21"/>
                <w:szCs w:val="21"/>
              </w:rPr>
            </w:pPr>
          </w:p>
        </w:tc>
      </w:tr>
      <w:tr w14:paraId="18796F7C">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7050238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BW-06</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38ED069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抽提塔进料</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39D79B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2DA2D3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94F61A2">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3D6038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95.2</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4EF135E9">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13E827F">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70E0EE45">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5DBC095">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526C1C07">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40526C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4.65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58032F2">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8C35D6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F26E3DC">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0661509A">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B0E752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3D77453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0.15</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05D619DA">
            <w:pPr>
              <w:snapToGrid w:val="0"/>
              <w:ind w:left="-120" w:leftChars="-50" w:right="-120" w:rightChars="-50"/>
              <w:jc w:val="center"/>
              <w:rPr>
                <w:rFonts w:cs="Arial Narrow"/>
                <w:color w:val="000000"/>
                <w:sz w:val="21"/>
                <w:szCs w:val="21"/>
              </w:rPr>
            </w:pPr>
          </w:p>
        </w:tc>
      </w:tr>
      <w:tr w14:paraId="3F2235EA">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13EEBDB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BW-07</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393FB18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抽提塔顶气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6DF9BD4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D48266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3569E2C">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0D3003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83.1</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ADDAD1E">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A4ED958">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18CD1311">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00B8D0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7B364F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0.67</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0E3ADDF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16.23</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67876088">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B5EC77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0D77B67">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17EC14C6">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47A5354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2EA67F7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0.1</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91BAAC9">
            <w:pPr>
              <w:snapToGrid w:val="0"/>
              <w:ind w:left="-120" w:leftChars="-50" w:right="-120" w:rightChars="-50"/>
              <w:jc w:val="center"/>
              <w:rPr>
                <w:rFonts w:cs="Arial Narrow"/>
                <w:color w:val="000000"/>
                <w:sz w:val="21"/>
                <w:szCs w:val="21"/>
              </w:rPr>
            </w:pPr>
          </w:p>
        </w:tc>
      </w:tr>
      <w:tr w14:paraId="29333B4D">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305F069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BW-08</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98E0DF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抽提塔底液</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3492E26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423A8D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C9416A4">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A3885E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35</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2BFF9DB">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6400EAD">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1A7BDA5B">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288C5E9">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B80853E">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3E96D87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65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CB32DF6">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594613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D8F3E10">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45587B27">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5B2EEE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5441CA4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0370A5A2">
            <w:pPr>
              <w:snapToGrid w:val="0"/>
              <w:ind w:left="-120" w:leftChars="-50" w:right="-120" w:rightChars="-50"/>
              <w:jc w:val="center"/>
              <w:rPr>
                <w:rFonts w:cs="Arial Narrow"/>
                <w:color w:val="000000"/>
                <w:sz w:val="21"/>
                <w:szCs w:val="21"/>
              </w:rPr>
            </w:pPr>
          </w:p>
        </w:tc>
      </w:tr>
      <w:tr w14:paraId="4BA69787">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6C23597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BW-09</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3305BFA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沉降塔顶气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1B61B5F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E92F08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BD65EF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5326D8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1B2E1AE">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000AE2F">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222A9F55">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D874A10">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97EBC5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0.39</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498DFBD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9.61</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89D143A">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CA665E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F7D16F9">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01BEE067">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92C19A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688BD67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0.1</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736435C5">
            <w:pPr>
              <w:snapToGrid w:val="0"/>
              <w:ind w:left="-120" w:leftChars="-50" w:right="-120" w:rightChars="-50"/>
              <w:jc w:val="center"/>
              <w:rPr>
                <w:rFonts w:cs="Arial Narrow"/>
                <w:color w:val="000000"/>
                <w:sz w:val="21"/>
                <w:szCs w:val="21"/>
              </w:rPr>
            </w:pPr>
          </w:p>
        </w:tc>
      </w:tr>
      <w:tr w14:paraId="210A894F">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2486AEC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BW-10</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7616CA1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沉降塔底液</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09454CE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6AC422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57CC9C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A401E0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6B5A4C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7F6DDB6">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42BD9FC1">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AEAB31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EEF3531">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4C603ED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80</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207C3A7">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833839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F098795">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6FC7B213">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D54198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7380958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13D6ACB5">
            <w:pPr>
              <w:snapToGrid w:val="0"/>
              <w:ind w:left="-120" w:leftChars="-50" w:right="-120" w:rightChars="-50"/>
              <w:jc w:val="center"/>
              <w:rPr>
                <w:rFonts w:cs="Arial Narrow"/>
                <w:color w:val="000000"/>
                <w:sz w:val="21"/>
                <w:szCs w:val="21"/>
              </w:rPr>
            </w:pPr>
          </w:p>
        </w:tc>
      </w:tr>
      <w:tr w14:paraId="3C071B0B">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3E52C91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BW-11</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F48076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临界塔顶气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1F5E325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36D7DB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3D96143">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A7FC42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211438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D09A5C0">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42EF17D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84613E4">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04DD546">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C63FDCE">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5680CC7">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1615A5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2065A78D">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7980379F">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40583B0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047DBD73">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39572A0">
            <w:pPr>
              <w:snapToGrid w:val="0"/>
              <w:ind w:left="-120" w:leftChars="-50" w:right="-120" w:rightChars="-50"/>
              <w:jc w:val="center"/>
              <w:rPr>
                <w:rFonts w:cs="Arial Narrow"/>
                <w:color w:val="000000"/>
                <w:sz w:val="21"/>
                <w:szCs w:val="21"/>
              </w:rPr>
            </w:pPr>
          </w:p>
        </w:tc>
      </w:tr>
      <w:tr w14:paraId="1581162F">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18D4CAC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BW-12</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05339AD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临界塔底液</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1CE9F9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181961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65363D5">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1D60BF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40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EFD2AF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EE83FD5">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0DC3E49F">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F723A9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56A8AB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2.36</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D790DB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57.64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75C346F7">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4CEAB7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D2941A2">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0033673">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33421C0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4F29F07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0.6</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02E26253">
            <w:pPr>
              <w:snapToGrid w:val="0"/>
              <w:ind w:left="-120" w:leftChars="-50" w:right="-120" w:rightChars="-50"/>
              <w:jc w:val="center"/>
              <w:rPr>
                <w:rFonts w:cs="Arial Narrow"/>
                <w:color w:val="000000"/>
                <w:sz w:val="21"/>
                <w:szCs w:val="21"/>
              </w:rPr>
            </w:pPr>
          </w:p>
        </w:tc>
      </w:tr>
      <w:tr w14:paraId="325C60A9">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17146D1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BW-12A</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8C470B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轻脱油蒸发塔顶气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6FE88E2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304B80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15D64F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55E26C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647D0A63">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7EBE8B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2D0724A5">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5CA03B3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0AEB362">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23807C41">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64B450A3">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31E94C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011CA62D">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3B97224C">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33589C9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1D6AE985">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6B514518">
            <w:pPr>
              <w:snapToGrid w:val="0"/>
              <w:ind w:left="-120" w:leftChars="-50" w:right="-120" w:rightChars="-50"/>
              <w:jc w:val="center"/>
              <w:rPr>
                <w:rFonts w:cs="Arial Narrow"/>
                <w:color w:val="000000"/>
                <w:sz w:val="21"/>
                <w:szCs w:val="21"/>
              </w:rPr>
            </w:pPr>
          </w:p>
        </w:tc>
      </w:tr>
      <w:tr w14:paraId="46A92266">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FD9F7B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BW-13</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269A889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轻脱油汽提塔进料</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5D9E34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9E1A06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73BAB2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D58073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6.6</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4538B7C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3E37CB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6B87BDE7">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1873476">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C235E5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3.68</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6C17EB5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89.72</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EB3F470">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86F5E8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90BF3BC">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2D4756D4">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70D200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4472BEC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1.2</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8A7F4DB">
            <w:pPr>
              <w:snapToGrid w:val="0"/>
              <w:ind w:left="-120" w:leftChars="-50" w:right="-120" w:rightChars="-50"/>
              <w:jc w:val="center"/>
              <w:rPr>
                <w:rFonts w:cs="Arial Narrow"/>
                <w:color w:val="000000"/>
                <w:sz w:val="21"/>
                <w:szCs w:val="21"/>
              </w:rPr>
            </w:pPr>
          </w:p>
        </w:tc>
      </w:tr>
      <w:tr w14:paraId="23879446">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079C0C4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BW-14</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4D96A2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轻脱油汽提塔顶气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724CE4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6D0AEC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18CA8F5">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8DB60B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78.6</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49A64C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EEFDD0D">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77AC8DF6">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05AA519">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6E09FF06">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680712A6">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FF614B2">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22DFCFD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F80AC9C">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63C12DBF">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D5BE9D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21.4</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6891A554">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74C8E379">
            <w:pPr>
              <w:snapToGrid w:val="0"/>
              <w:ind w:left="-120" w:leftChars="-50" w:right="-120" w:rightChars="-50"/>
              <w:jc w:val="center"/>
              <w:rPr>
                <w:rFonts w:cs="Arial Narrow"/>
                <w:color w:val="000000"/>
                <w:sz w:val="21"/>
                <w:szCs w:val="21"/>
              </w:rPr>
            </w:pPr>
          </w:p>
        </w:tc>
      </w:tr>
      <w:tr w14:paraId="31657F7A">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7031A10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BW-15</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36342FA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轻脱油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A7ED86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4788DB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25C310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7B7E14E">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C33DE3F">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79BB6F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4A1EFCD8">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867244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CFD2E2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3.88</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7F3FE61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94.52</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3FB21C3">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A06E46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0E797C16">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2A5E6663">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B97160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26210BE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1.6</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4573DCBB">
            <w:pPr>
              <w:snapToGrid w:val="0"/>
              <w:ind w:left="-120" w:leftChars="-50" w:right="-120" w:rightChars="-50"/>
              <w:jc w:val="center"/>
              <w:rPr>
                <w:rFonts w:cs="Arial Narrow"/>
                <w:color w:val="000000"/>
                <w:sz w:val="21"/>
                <w:szCs w:val="21"/>
              </w:rPr>
            </w:pPr>
          </w:p>
        </w:tc>
      </w:tr>
      <w:tr w14:paraId="54B38441">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29FD7A0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BW-16</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4F88A76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沥青蒸发塔顶气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4616F3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E52A44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832E40C">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5286F9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99CD339">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C2382FD">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3A58CA56">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1CBFF5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34C72D7">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7A02A564">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E82438C">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BEF3B2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69F173B">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45EB2ACE">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3265D06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763C43D2">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19DE9176">
            <w:pPr>
              <w:snapToGrid w:val="0"/>
              <w:ind w:left="-120" w:leftChars="-50" w:right="-120" w:rightChars="-50"/>
              <w:jc w:val="center"/>
              <w:rPr>
                <w:rFonts w:cs="Arial Narrow"/>
                <w:color w:val="000000"/>
                <w:sz w:val="21"/>
                <w:szCs w:val="21"/>
              </w:rPr>
            </w:pPr>
          </w:p>
        </w:tc>
      </w:tr>
      <w:tr w14:paraId="4238B758">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466732C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BW-17</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0AACE41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沥青蒸发塔底液</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4ACC8A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D46A50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E1A5DBB">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598D43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6</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65E769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81D06AD">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34D0B2E9">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A709C6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DB0E472">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30E95F5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E2DDDA3">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F66CDE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9D745B7">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36B1D609">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52B9B24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0FAB9D6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681BA029">
            <w:pPr>
              <w:snapToGrid w:val="0"/>
              <w:ind w:left="-120" w:leftChars="-50" w:right="-120" w:rightChars="-50"/>
              <w:jc w:val="center"/>
              <w:rPr>
                <w:rFonts w:cs="Arial Narrow"/>
                <w:color w:val="000000"/>
                <w:sz w:val="21"/>
                <w:szCs w:val="21"/>
              </w:rPr>
            </w:pPr>
          </w:p>
        </w:tc>
      </w:tr>
      <w:tr w14:paraId="60656705">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16D2188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BW-18</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5C33294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沥青汽提塔顶气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5020D0A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7F9FD6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040463F">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44D42F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79.5</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427EA85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CB10048">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049CC685">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B930F5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C3C7677">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2E9F5A59">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962316D">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2F71E7C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B4FD773">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47760917">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70C8E59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20.5</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75D8FB54">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489EB9AE">
            <w:pPr>
              <w:snapToGrid w:val="0"/>
              <w:ind w:left="-120" w:leftChars="-50" w:right="-120" w:rightChars="-50"/>
              <w:jc w:val="center"/>
              <w:rPr>
                <w:rFonts w:cs="Arial Narrow"/>
                <w:color w:val="000000"/>
                <w:sz w:val="21"/>
                <w:szCs w:val="21"/>
              </w:rPr>
            </w:pPr>
          </w:p>
        </w:tc>
      </w:tr>
      <w:tr w14:paraId="7708018B">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0D5C63C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BW-19</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2057079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沥青</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15E9C32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D88335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9FC0374">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8B014C5">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12162EE4">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1FDA56B">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6A2326D0">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23EEE6E">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3E2272B">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4366DF4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96.4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871FBEF">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CEC2E9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AE9DD86">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775DA788">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E6A2FC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6EB7550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3.6</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ED90A5D">
            <w:pPr>
              <w:snapToGrid w:val="0"/>
              <w:ind w:left="-120" w:leftChars="-50" w:right="-120" w:rightChars="-50"/>
              <w:jc w:val="center"/>
              <w:rPr>
                <w:rFonts w:cs="Arial Narrow"/>
                <w:color w:val="000000"/>
                <w:sz w:val="21"/>
                <w:szCs w:val="21"/>
              </w:rPr>
            </w:pPr>
          </w:p>
        </w:tc>
      </w:tr>
      <w:tr w14:paraId="71C2FA18">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3DB670C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BW-20</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5718448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重脱油蒸发塔顶气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080E4B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D17CE2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9985824">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9C1B92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0E5A9623">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7B930B4">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20974D7">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32631A1">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5D99E06">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312DE682">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727E1B0">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5982F9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0324390">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830FA8D">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1357363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57B3F11D">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4AD53414">
            <w:pPr>
              <w:snapToGrid w:val="0"/>
              <w:ind w:left="-120" w:leftChars="-50" w:right="-120" w:rightChars="-50"/>
              <w:jc w:val="center"/>
              <w:rPr>
                <w:rFonts w:cs="Arial Narrow"/>
                <w:color w:val="000000"/>
                <w:sz w:val="21"/>
                <w:szCs w:val="21"/>
              </w:rPr>
            </w:pPr>
          </w:p>
        </w:tc>
      </w:tr>
      <w:tr w14:paraId="0647E937">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73F6D57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BW-21</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2EF2FD3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重脱油蒸发塔底液</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E70B33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776F1B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8DF2A0C">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64A8CF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5.9</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195AF2E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639D3F2">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4518A9BA">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0237BA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A547D81">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380F789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94.1</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707500CA">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8544E6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0B4E9517">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0EA86631">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115E033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7E24BDA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1D566FF">
            <w:pPr>
              <w:snapToGrid w:val="0"/>
              <w:ind w:left="-120" w:leftChars="-50" w:right="-120" w:rightChars="-50"/>
              <w:jc w:val="center"/>
              <w:rPr>
                <w:rFonts w:cs="Arial Narrow"/>
                <w:color w:val="000000"/>
                <w:sz w:val="21"/>
                <w:szCs w:val="21"/>
              </w:rPr>
            </w:pPr>
          </w:p>
        </w:tc>
      </w:tr>
      <w:tr w14:paraId="6F7F1305">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6316742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BW-22</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064EB0A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重脱油汽提塔顶气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8362B4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357DC6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CFC1117">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D89E9E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70.7</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89664CE">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04BF011">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0BF1B618">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D04EC5A">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E0003DD">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427CA524">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5169D08">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9686B6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B09633F">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0A297861">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0BF94E0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29.3</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5232D82A">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60BD32CD">
            <w:pPr>
              <w:snapToGrid w:val="0"/>
              <w:ind w:left="-120" w:leftChars="-50" w:right="-120" w:rightChars="-50"/>
              <w:jc w:val="center"/>
              <w:rPr>
                <w:rFonts w:cs="Arial Narrow"/>
                <w:color w:val="000000"/>
                <w:sz w:val="21"/>
                <w:szCs w:val="21"/>
              </w:rPr>
            </w:pPr>
          </w:p>
        </w:tc>
      </w:tr>
      <w:tr w14:paraId="4EC781C8">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1B0E47B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BW-23</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5E6E288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重脱油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EF38EB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8DD557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1129CB4">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3CF37F0">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2A81D1D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F994ED0">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6E20FC38">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60E525D">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B1132F2">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2099514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96.7</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648412D1">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8631BF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7FF2C3D">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2CE102C5">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5178D81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3068173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3.3</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2E809109">
            <w:pPr>
              <w:snapToGrid w:val="0"/>
              <w:ind w:left="-120" w:leftChars="-50" w:right="-120" w:rightChars="-50"/>
              <w:jc w:val="center"/>
              <w:rPr>
                <w:rFonts w:cs="Arial Narrow"/>
                <w:color w:val="000000"/>
                <w:sz w:val="21"/>
                <w:szCs w:val="21"/>
              </w:rPr>
            </w:pPr>
          </w:p>
        </w:tc>
      </w:tr>
      <w:tr w14:paraId="23565C17">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1D7CA6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BW-24</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4745B70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瓦斯</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12957A1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C1-C2</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DD75EA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7.5</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46CFDC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55.5</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2114B4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34.5</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32F1C69">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E7EFA53">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644222FE">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758A894">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5BBCB594">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50CB7C60">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F9CDD44">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83375B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FE206A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F9742EE">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28DBE58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0.03</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45BCC8D9">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D2F717A">
            <w:pPr>
              <w:snapToGrid w:val="0"/>
              <w:ind w:left="-120" w:leftChars="-50" w:right="-120" w:rightChars="-50"/>
              <w:jc w:val="center"/>
              <w:rPr>
                <w:rFonts w:cs="Arial Narrow"/>
                <w:color w:val="000000"/>
                <w:sz w:val="21"/>
                <w:szCs w:val="21"/>
              </w:rPr>
            </w:pPr>
          </w:p>
        </w:tc>
      </w:tr>
      <w:tr w14:paraId="71D47FCB">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4374815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BW-25</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0D17430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丙烷、碱液</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24DE061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2D707C9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12</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5479F83">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A4D2D7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98</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2466543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F0B3568">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5516570">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5CEE5C9">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57512F3">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2B86C54D">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12EA9B1">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AC6C52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1E61AB4">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62AFC97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w:t>
            </w: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30F7E75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36790DE1">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19780191">
            <w:pPr>
              <w:snapToGrid w:val="0"/>
              <w:ind w:left="-120" w:leftChars="-50" w:right="-120" w:rightChars="-50"/>
              <w:jc w:val="center"/>
              <w:rPr>
                <w:rFonts w:cs="Arial Narrow"/>
                <w:color w:val="000000"/>
                <w:sz w:val="21"/>
                <w:szCs w:val="21"/>
              </w:rPr>
            </w:pPr>
          </w:p>
        </w:tc>
      </w:tr>
      <w:tr w14:paraId="778715D8">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D4D372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BW-26</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66E0AF1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压缩丙烷</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185331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1F4DF2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AA0C3A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154C54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7FD4F9A">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0A02C8D">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3E3ED7B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DA61284">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51DDC9E0">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01A80DF9">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64E21262">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2A9B4C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9E430FE">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11323630">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4CA7262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69569759">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02F71D1">
            <w:pPr>
              <w:snapToGrid w:val="0"/>
              <w:ind w:left="-120" w:leftChars="-50" w:right="-120" w:rightChars="-50"/>
              <w:jc w:val="center"/>
              <w:rPr>
                <w:rFonts w:cs="Arial Narrow"/>
                <w:color w:val="000000"/>
                <w:sz w:val="21"/>
                <w:szCs w:val="21"/>
              </w:rPr>
            </w:pPr>
          </w:p>
        </w:tc>
      </w:tr>
      <w:tr w14:paraId="64B5D135">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0541058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BW-27</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66B3B69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放空气</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2527C6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0EF4CF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4626950">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2095A8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773C0824">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42C2F1F">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4E7C5158">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BA1BDCE">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0A50F8C">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6FBCCB69">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E346F84">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CADB35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326212C">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01D02B7B">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56349F2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5D3ACC0C">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5E0BD7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96</w:t>
            </w:r>
          </w:p>
        </w:tc>
      </w:tr>
      <w:tr w14:paraId="53587A0B">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7CE27E2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BW-28</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440C857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脱硫丙烷</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1C24F47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6E07CD0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18BA6A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1BA184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38B679BC">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DE1FEC8">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FE7C2FD">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846B03D">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3C1065D2">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0BA3FC87">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793ED52B">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40ECA255">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E11FC67">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67CE92E8">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1B9C48C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2286E180">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E5BD507">
            <w:pPr>
              <w:snapToGrid w:val="0"/>
              <w:ind w:left="-120" w:leftChars="-50" w:right="-120" w:rightChars="-50"/>
              <w:jc w:val="center"/>
              <w:rPr>
                <w:rFonts w:cs="Arial Narrow"/>
                <w:color w:val="000000"/>
                <w:sz w:val="21"/>
                <w:szCs w:val="21"/>
              </w:rPr>
            </w:pPr>
          </w:p>
        </w:tc>
      </w:tr>
      <w:tr w14:paraId="606E8A0F">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3E3ADE6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BW-29</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222766E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轻脱油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6573D3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C3-C4</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1F6D88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1D4F968">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5CA1D5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83.1</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17C533D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9B126FC">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753CF925">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6591C99C">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509D08C">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61BA1C1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16.9</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A649068">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6896F87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1AA36E2">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165F31F">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56207AA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0975E24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0.2</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64CB85A3">
            <w:pPr>
              <w:snapToGrid w:val="0"/>
              <w:ind w:left="-120" w:leftChars="-50" w:right="-120" w:rightChars="-50"/>
              <w:jc w:val="center"/>
              <w:rPr>
                <w:rFonts w:cs="Arial Narrow"/>
                <w:color w:val="000000"/>
                <w:sz w:val="21"/>
                <w:szCs w:val="21"/>
              </w:rPr>
            </w:pPr>
          </w:p>
        </w:tc>
      </w:tr>
      <w:tr w14:paraId="4B546D82">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75A2BE0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BW-30</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49A97BF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润滑油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36C1338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C17-C25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924E47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0D5A599">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C277D78">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414B642E">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CD63CD8">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37BC59A3">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5166D4E8">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7370CF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5B5F334">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11E87913">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A1D018D">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BA28D71">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FCD59A7">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35037D88">
            <w:pPr>
              <w:snapToGrid w:val="0"/>
              <w:ind w:left="-120" w:leftChars="-50" w:right="-120" w:rightChars="-50"/>
              <w:jc w:val="center"/>
              <w:rPr>
                <w:rFonts w:cs="Arial Narrow"/>
                <w:color w:val="000000"/>
                <w:sz w:val="21"/>
                <w:szCs w:val="21"/>
              </w:rPr>
            </w:pP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1FDD8703">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05AB5D8D">
            <w:pPr>
              <w:snapToGrid w:val="0"/>
              <w:ind w:left="-120" w:leftChars="-50" w:right="-120" w:rightChars="-50"/>
              <w:jc w:val="center"/>
              <w:rPr>
                <w:rFonts w:cs="Arial Narrow"/>
                <w:color w:val="000000"/>
                <w:sz w:val="21"/>
                <w:szCs w:val="21"/>
              </w:rPr>
            </w:pPr>
          </w:p>
        </w:tc>
      </w:tr>
      <w:tr w14:paraId="382E4041">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426ACCD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CJ-01</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6E3B1CF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原料柴油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4A82A5E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C13-C16</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DDC55F6">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1ED24406">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8C9AA6C">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D1D417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0.43</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FD5064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4.06</w:t>
            </w: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4262A6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10.86</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23E09D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51.82</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687CB61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32.67</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A1D12D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0.15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345B74D9">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03E734B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ED8B60B">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7FC10761">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2D3651F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2935255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0.1</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4667A98">
            <w:pPr>
              <w:snapToGrid w:val="0"/>
              <w:ind w:left="-120" w:leftChars="-50" w:right="-120" w:rightChars="-50"/>
              <w:jc w:val="center"/>
              <w:rPr>
                <w:rFonts w:cs="Arial Narrow"/>
                <w:color w:val="000000"/>
                <w:sz w:val="21"/>
                <w:szCs w:val="21"/>
              </w:rPr>
            </w:pPr>
          </w:p>
        </w:tc>
      </w:tr>
      <w:tr w14:paraId="040DC5E4">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4172F45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CJ-02</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05A43BE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焦化柴油</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078A88F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C13-C16</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6DA638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7F04D9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D738939">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61492B83">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0994D7B9">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75798848">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4.9</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E6757B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54.9</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6B10666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39.4</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63D5439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0.7</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41D67E18">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0572E61A">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10ppm</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7B20ACF">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402F5DE0">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6ECD0CD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766793C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1.84</w:t>
            </w: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CCD6553">
            <w:pPr>
              <w:snapToGrid w:val="0"/>
              <w:ind w:left="-120" w:leftChars="-50" w:right="-120" w:rightChars="-50"/>
              <w:jc w:val="center"/>
              <w:rPr>
                <w:rFonts w:cs="Arial Narrow"/>
                <w:color w:val="000000"/>
                <w:sz w:val="21"/>
                <w:szCs w:val="21"/>
              </w:rPr>
            </w:pPr>
          </w:p>
        </w:tc>
      </w:tr>
      <w:tr w14:paraId="3EF8FCD1">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2A1B2B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CJ-03</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030689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循环水</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79B8D44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H2O</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B3ED8F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8</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659629F9">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28F76055">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2823415D">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11D9C44">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2876E134">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73592BA9">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2C1EC374">
            <w:pPr>
              <w:snapToGrid w:val="0"/>
              <w:ind w:left="-120" w:leftChars="-50" w:right="-120" w:rightChars="-50"/>
              <w:jc w:val="center"/>
              <w:rPr>
                <w:rFonts w:cs="Arial Narrow"/>
                <w:color w:val="000000"/>
                <w:sz w:val="21"/>
                <w:szCs w:val="21"/>
              </w:rPr>
            </w:pP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7E13BEC">
            <w:pPr>
              <w:snapToGrid w:val="0"/>
              <w:ind w:left="-120" w:leftChars="-50" w:right="-120" w:rightChars="-50"/>
              <w:jc w:val="center"/>
              <w:rPr>
                <w:rFonts w:cs="Arial Narrow"/>
                <w:color w:val="000000"/>
                <w:sz w:val="21"/>
                <w:szCs w:val="21"/>
              </w:rPr>
            </w:pP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028335E">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540B408D">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160C4138">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2D1430D9">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242DA014">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7709F1B3">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3BD4A7D2">
            <w:pPr>
              <w:snapToGrid w:val="0"/>
              <w:ind w:left="-120" w:leftChars="-50" w:right="-120" w:rightChars="-50"/>
              <w:jc w:val="center"/>
              <w:rPr>
                <w:rFonts w:cs="Arial Narrow"/>
                <w:color w:val="000000"/>
                <w:sz w:val="21"/>
                <w:szCs w:val="21"/>
              </w:rPr>
            </w:pPr>
          </w:p>
        </w:tc>
      </w:tr>
      <w:tr w14:paraId="2C84802F">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4A732E1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FZS-02</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01CA063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混合原料</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1842A1C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C17-C25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584772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5299DF30">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960EB2A">
            <w:pPr>
              <w:snapToGrid w:val="0"/>
              <w:ind w:left="-120" w:leftChars="-50" w:right="-120" w:rightChars="-50"/>
              <w:jc w:val="center"/>
              <w:rPr>
                <w:rFonts w:cs="Arial Narrow"/>
                <w:color w:val="000000"/>
                <w:sz w:val="21"/>
                <w:szCs w:val="21"/>
              </w:rPr>
            </w:pP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57B87AD1">
            <w:pPr>
              <w:snapToGrid w:val="0"/>
              <w:ind w:left="-120" w:leftChars="-50" w:right="-120" w:rightChars="-50"/>
              <w:jc w:val="center"/>
              <w:rPr>
                <w:rFonts w:cs="Arial Narrow"/>
                <w:color w:val="000000"/>
                <w:sz w:val="21"/>
                <w:szCs w:val="21"/>
              </w:rPr>
            </w:pP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316122A">
            <w:pPr>
              <w:snapToGrid w:val="0"/>
              <w:ind w:left="-120" w:leftChars="-50" w:right="-120" w:rightChars="-50"/>
              <w:jc w:val="center"/>
              <w:rPr>
                <w:rFonts w:cs="Arial Narrow"/>
                <w:color w:val="000000"/>
                <w:sz w:val="21"/>
                <w:szCs w:val="21"/>
              </w:rPr>
            </w:pP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5278250D">
            <w:pPr>
              <w:snapToGrid w:val="0"/>
              <w:ind w:left="-120" w:leftChars="-50" w:right="-120" w:rightChars="-50"/>
              <w:jc w:val="center"/>
              <w:rPr>
                <w:rFonts w:cs="Arial Narrow"/>
                <w:color w:val="000000"/>
                <w:sz w:val="21"/>
                <w:szCs w:val="21"/>
              </w:rPr>
            </w:pP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42FFE1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1.3</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12DAEF0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54.47</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08A1600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27.66</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74B80753">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46BE136">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79C73A4">
            <w:pPr>
              <w:snapToGrid w:val="0"/>
              <w:ind w:left="-120" w:leftChars="-50" w:right="-120" w:rightChars="-50"/>
              <w:jc w:val="center"/>
              <w:rPr>
                <w:rFonts w:cs="Arial Narrow"/>
                <w:color w:val="000000"/>
                <w:sz w:val="21"/>
                <w:szCs w:val="21"/>
              </w:rPr>
            </w:pP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541566EF">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775CEA4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019B53A8">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2DEC5D19">
            <w:pPr>
              <w:snapToGrid w:val="0"/>
              <w:ind w:left="-120" w:leftChars="-50" w:right="-120" w:rightChars="-50"/>
              <w:jc w:val="center"/>
              <w:rPr>
                <w:rFonts w:cs="Arial Narrow"/>
                <w:color w:val="000000"/>
                <w:sz w:val="21"/>
                <w:szCs w:val="21"/>
              </w:rPr>
            </w:pPr>
          </w:p>
        </w:tc>
      </w:tr>
      <w:tr w14:paraId="20C9AAA9">
        <w:tblPrEx>
          <w:tblCellMar>
            <w:top w:w="0" w:type="dxa"/>
            <w:left w:w="108" w:type="dxa"/>
            <w:bottom w:w="0" w:type="dxa"/>
            <w:right w:w="108" w:type="dxa"/>
          </w:tblCellMar>
        </w:tblPrEx>
        <w:trPr>
          <w:trHeight w:val="312" w:hRule="atLeast"/>
        </w:trPr>
        <w:tc>
          <w:tcPr>
            <w:tcW w:w="341" w:type="pct"/>
            <w:tcBorders>
              <w:top w:val="single" w:color="000000" w:sz="4" w:space="0"/>
              <w:left w:val="single" w:color="000000" w:sz="4" w:space="0"/>
              <w:bottom w:val="single" w:color="000000" w:sz="4" w:space="0"/>
              <w:right w:val="single" w:color="000000" w:sz="4" w:space="0"/>
            </w:tcBorders>
            <w:noWrap/>
            <w:vAlign w:val="bottom"/>
          </w:tcPr>
          <w:p w14:paraId="549F88E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FZS-03</w:t>
            </w:r>
          </w:p>
        </w:tc>
        <w:tc>
          <w:tcPr>
            <w:tcW w:w="616" w:type="pct"/>
            <w:tcBorders>
              <w:top w:val="single" w:color="000000" w:sz="4" w:space="0"/>
              <w:left w:val="single" w:color="000000" w:sz="4" w:space="0"/>
              <w:bottom w:val="single" w:color="000000" w:sz="4" w:space="0"/>
              <w:right w:val="single" w:color="000000" w:sz="4" w:space="0"/>
            </w:tcBorders>
            <w:noWrap/>
            <w:vAlign w:val="bottom"/>
          </w:tcPr>
          <w:p w14:paraId="1B1F35EF">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反应产物</w:t>
            </w:r>
          </w:p>
        </w:tc>
        <w:tc>
          <w:tcPr>
            <w:tcW w:w="343" w:type="pct"/>
            <w:tcBorders>
              <w:top w:val="single" w:color="000000" w:sz="4" w:space="0"/>
              <w:left w:val="single" w:color="000000" w:sz="4" w:space="0"/>
              <w:bottom w:val="single" w:color="000000" w:sz="4" w:space="0"/>
              <w:right w:val="single" w:color="000000" w:sz="4" w:space="0"/>
            </w:tcBorders>
            <w:noWrap/>
            <w:vAlign w:val="bottom"/>
          </w:tcPr>
          <w:p w14:paraId="5F1B2DF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C17-C25</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0D1E9681">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7.6</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79B2F042">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3B3CE52E">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1.1</w:t>
            </w:r>
          </w:p>
        </w:tc>
        <w:tc>
          <w:tcPr>
            <w:tcW w:w="178" w:type="pct"/>
            <w:tcBorders>
              <w:top w:val="single" w:color="000000" w:sz="4" w:space="0"/>
              <w:left w:val="single" w:color="000000" w:sz="4" w:space="0"/>
              <w:bottom w:val="single" w:color="000000" w:sz="4" w:space="0"/>
              <w:right w:val="single" w:color="000000" w:sz="4" w:space="0"/>
            </w:tcBorders>
            <w:noWrap/>
            <w:vAlign w:val="bottom"/>
          </w:tcPr>
          <w:p w14:paraId="436AC32B">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w:t>
            </w:r>
          </w:p>
        </w:tc>
        <w:tc>
          <w:tcPr>
            <w:tcW w:w="230" w:type="pct"/>
            <w:tcBorders>
              <w:top w:val="single" w:color="000000" w:sz="4" w:space="0"/>
              <w:left w:val="single" w:color="000000" w:sz="4" w:space="0"/>
              <w:bottom w:val="single" w:color="000000" w:sz="4" w:space="0"/>
              <w:right w:val="single" w:color="000000" w:sz="4" w:space="0"/>
            </w:tcBorders>
            <w:noWrap/>
            <w:vAlign w:val="bottom"/>
          </w:tcPr>
          <w:p w14:paraId="4C689DE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4.3</w:t>
            </w:r>
          </w:p>
        </w:tc>
        <w:tc>
          <w:tcPr>
            <w:tcW w:w="261" w:type="pct"/>
            <w:tcBorders>
              <w:top w:val="single" w:color="000000" w:sz="4" w:space="0"/>
              <w:left w:val="single" w:color="000000" w:sz="4" w:space="0"/>
              <w:bottom w:val="single" w:color="000000" w:sz="4" w:space="0"/>
              <w:right w:val="single" w:color="000000" w:sz="4" w:space="0"/>
            </w:tcBorders>
            <w:noWrap/>
            <w:vAlign w:val="bottom"/>
          </w:tcPr>
          <w:p w14:paraId="3ABE5CC5">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6.5</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48FE96C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0.22</w:t>
            </w:r>
          </w:p>
        </w:tc>
        <w:tc>
          <w:tcPr>
            <w:tcW w:w="292" w:type="pct"/>
            <w:tcBorders>
              <w:top w:val="single" w:color="000000" w:sz="4" w:space="0"/>
              <w:left w:val="single" w:color="000000" w:sz="4" w:space="0"/>
              <w:bottom w:val="single" w:color="000000" w:sz="4" w:space="0"/>
              <w:right w:val="single" w:color="000000" w:sz="4" w:space="0"/>
            </w:tcBorders>
            <w:noWrap/>
            <w:vAlign w:val="bottom"/>
          </w:tcPr>
          <w:p w14:paraId="0AF263EC">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51.6</w:t>
            </w:r>
          </w:p>
        </w:tc>
        <w:tc>
          <w:tcPr>
            <w:tcW w:w="208" w:type="pct"/>
            <w:tcBorders>
              <w:top w:val="single" w:color="000000" w:sz="4" w:space="0"/>
              <w:left w:val="single" w:color="000000" w:sz="4" w:space="0"/>
              <w:bottom w:val="single" w:color="000000" w:sz="4" w:space="0"/>
              <w:right w:val="single" w:color="000000" w:sz="4" w:space="0"/>
            </w:tcBorders>
            <w:noWrap/>
            <w:vAlign w:val="bottom"/>
          </w:tcPr>
          <w:p w14:paraId="15002AF9">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21.43</w:t>
            </w:r>
          </w:p>
        </w:tc>
        <w:tc>
          <w:tcPr>
            <w:tcW w:w="146" w:type="pct"/>
            <w:tcBorders>
              <w:top w:val="single" w:color="000000" w:sz="4" w:space="0"/>
              <w:left w:val="single" w:color="000000" w:sz="4" w:space="0"/>
              <w:bottom w:val="single" w:color="000000" w:sz="4" w:space="0"/>
              <w:right w:val="single" w:color="000000" w:sz="4" w:space="0"/>
            </w:tcBorders>
            <w:noWrap/>
            <w:vAlign w:val="bottom"/>
          </w:tcPr>
          <w:p w14:paraId="5AF497E7">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6.5</w:t>
            </w: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75052E5E">
            <w:pPr>
              <w:snapToGrid w:val="0"/>
              <w:ind w:left="-120" w:leftChars="-50" w:right="-120" w:rightChars="-50"/>
              <w:jc w:val="center"/>
              <w:rPr>
                <w:rFonts w:cs="Arial Narrow"/>
                <w:color w:val="000000"/>
                <w:sz w:val="21"/>
                <w:szCs w:val="21"/>
              </w:rPr>
            </w:pPr>
          </w:p>
        </w:tc>
        <w:tc>
          <w:tcPr>
            <w:tcW w:w="270" w:type="pct"/>
            <w:tcBorders>
              <w:top w:val="single" w:color="000000" w:sz="4" w:space="0"/>
              <w:left w:val="single" w:color="000000" w:sz="4" w:space="0"/>
              <w:bottom w:val="single" w:color="000000" w:sz="4" w:space="0"/>
              <w:right w:val="single" w:color="000000" w:sz="4" w:space="0"/>
            </w:tcBorders>
            <w:noWrap/>
            <w:vAlign w:val="bottom"/>
          </w:tcPr>
          <w:p w14:paraId="303511ED">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32" w:type="pct"/>
            <w:tcBorders>
              <w:top w:val="single" w:color="000000" w:sz="4" w:space="0"/>
              <w:left w:val="single" w:color="000000" w:sz="4" w:space="0"/>
              <w:bottom w:val="single" w:color="000000" w:sz="4" w:space="0"/>
              <w:right w:val="single" w:color="000000" w:sz="4" w:space="0"/>
            </w:tcBorders>
            <w:noWrap/>
            <w:vAlign w:val="bottom"/>
          </w:tcPr>
          <w:p w14:paraId="0434D9EC">
            <w:pPr>
              <w:snapToGrid w:val="0"/>
              <w:ind w:left="-120" w:leftChars="-50" w:right="-120" w:rightChars="-50"/>
              <w:jc w:val="center"/>
              <w:rPr>
                <w:rFonts w:cs="Arial Narrow"/>
                <w:color w:val="000000"/>
                <w:sz w:val="21"/>
                <w:szCs w:val="21"/>
              </w:rPr>
            </w:pPr>
          </w:p>
        </w:tc>
        <w:tc>
          <w:tcPr>
            <w:tcW w:w="271" w:type="pct"/>
            <w:tcBorders>
              <w:top w:val="single" w:color="000000" w:sz="4" w:space="0"/>
              <w:left w:val="single" w:color="000000" w:sz="4" w:space="0"/>
              <w:bottom w:val="single" w:color="000000" w:sz="4" w:space="0"/>
              <w:right w:val="single" w:color="000000" w:sz="4" w:space="0"/>
            </w:tcBorders>
            <w:noWrap/>
            <w:vAlign w:val="bottom"/>
          </w:tcPr>
          <w:p w14:paraId="45262660">
            <w:pPr>
              <w:snapToGrid w:val="0"/>
              <w:ind w:left="-120" w:leftChars="-50" w:right="-120" w:rightChars="-50"/>
              <w:jc w:val="center"/>
              <w:textAlignment w:val="bottom"/>
              <w:rPr>
                <w:rFonts w:cs="Arial Narrow"/>
                <w:color w:val="000000"/>
                <w:sz w:val="21"/>
                <w:szCs w:val="21"/>
              </w:rPr>
            </w:pPr>
            <w:r>
              <w:rPr>
                <w:rFonts w:cs="Arial Narrow"/>
                <w:color w:val="000000"/>
                <w:kern w:val="0"/>
                <w:sz w:val="21"/>
                <w:szCs w:val="21"/>
                <w:lang w:bidi="ar"/>
              </w:rPr>
              <w:t>100ppm</w:t>
            </w:r>
          </w:p>
        </w:tc>
        <w:tc>
          <w:tcPr>
            <w:tcW w:w="274" w:type="pct"/>
            <w:tcBorders>
              <w:top w:val="single" w:color="000000" w:sz="4" w:space="0"/>
              <w:left w:val="single" w:color="000000" w:sz="4" w:space="0"/>
              <w:bottom w:val="single" w:color="000000" w:sz="4" w:space="0"/>
              <w:right w:val="single" w:color="000000" w:sz="4" w:space="0"/>
            </w:tcBorders>
            <w:noWrap/>
            <w:vAlign w:val="bottom"/>
          </w:tcPr>
          <w:p w14:paraId="4477E81E">
            <w:pPr>
              <w:snapToGrid w:val="0"/>
              <w:ind w:left="-120" w:leftChars="-50" w:right="-120" w:rightChars="-50"/>
              <w:jc w:val="center"/>
              <w:rPr>
                <w:rFonts w:cs="Arial Narrow"/>
                <w:color w:val="000000"/>
                <w:sz w:val="21"/>
                <w:szCs w:val="21"/>
              </w:rPr>
            </w:pPr>
          </w:p>
        </w:tc>
        <w:tc>
          <w:tcPr>
            <w:tcW w:w="160" w:type="pct"/>
            <w:tcBorders>
              <w:top w:val="single" w:color="000000" w:sz="4" w:space="0"/>
              <w:left w:val="single" w:color="000000" w:sz="4" w:space="0"/>
              <w:bottom w:val="single" w:color="000000" w:sz="4" w:space="0"/>
              <w:right w:val="single" w:color="000000" w:sz="4" w:space="0"/>
            </w:tcBorders>
            <w:noWrap/>
            <w:vAlign w:val="bottom"/>
          </w:tcPr>
          <w:p w14:paraId="50996EB6">
            <w:pPr>
              <w:snapToGrid w:val="0"/>
              <w:ind w:left="-120" w:leftChars="-50" w:right="-120" w:rightChars="-50"/>
              <w:jc w:val="center"/>
              <w:rPr>
                <w:rFonts w:cs="Arial Narrow"/>
                <w:color w:val="000000"/>
                <w:sz w:val="21"/>
                <w:szCs w:val="21"/>
              </w:rPr>
            </w:pPr>
          </w:p>
        </w:tc>
      </w:tr>
    </w:tbl>
    <w:p w14:paraId="200B2E4D">
      <w:pPr>
        <w:autoSpaceDE w:val="0"/>
        <w:autoSpaceDN w:val="0"/>
        <w:adjustRightInd w:val="0"/>
        <w:rPr>
          <w:rFonts w:hint="eastAsia" w:ascii="Times New Roman" w:hAnsi="Times New Roman"/>
        </w:rPr>
      </w:pPr>
    </w:p>
    <w:p w14:paraId="731008F5">
      <w:pPr>
        <w:autoSpaceDE w:val="0"/>
        <w:autoSpaceDN w:val="0"/>
        <w:adjustRightInd w:val="0"/>
        <w:rPr>
          <w:rFonts w:hint="eastAsia" w:ascii="Times New Roman" w:hAnsi="Times New Roman"/>
        </w:rPr>
        <w:sectPr>
          <w:pgSz w:w="16838" w:h="11906" w:orient="landscape"/>
          <w:pgMar w:top="1701" w:right="567" w:bottom="1418" w:left="567" w:header="1134" w:footer="1134" w:gutter="0"/>
          <w:cols w:space="720" w:num="1"/>
          <w:docGrid w:type="lines" w:linePitch="460" w:charSpace="0"/>
        </w:sectPr>
      </w:pPr>
    </w:p>
    <w:bookmarkEnd w:id="80"/>
    <w:bookmarkEnd w:id="81"/>
    <w:bookmarkEnd w:id="82"/>
    <w:p w14:paraId="65F094BF">
      <w:pPr>
        <w:pStyle w:val="2"/>
        <w:numPr>
          <w:ilvl w:val="0"/>
          <w:numId w:val="3"/>
        </w:numPr>
        <w:spacing w:before="230" w:after="230"/>
      </w:pPr>
      <w:bookmarkStart w:id="83" w:name="_Toc325294283"/>
      <w:bookmarkStart w:id="84" w:name="_Toc326585994"/>
      <w:bookmarkStart w:id="85" w:name="_Toc98261472"/>
      <w:bookmarkStart w:id="86" w:name="_Toc326808356"/>
      <w:bookmarkStart w:id="87" w:name="_Toc326850003"/>
      <w:bookmarkStart w:id="88" w:name="_Toc327251569"/>
      <w:bookmarkStart w:id="89" w:name="_Toc480551524"/>
      <w:bookmarkStart w:id="90" w:name="_Toc30815"/>
      <w:r>
        <w:t>风险分析结果</w:t>
      </w:r>
      <w:bookmarkEnd w:id="83"/>
      <w:bookmarkEnd w:id="84"/>
      <w:bookmarkEnd w:id="85"/>
      <w:bookmarkEnd w:id="86"/>
      <w:bookmarkEnd w:id="87"/>
      <w:bookmarkEnd w:id="88"/>
      <w:bookmarkEnd w:id="89"/>
      <w:bookmarkEnd w:id="90"/>
    </w:p>
    <w:p w14:paraId="367097C5">
      <w:pPr>
        <w:pStyle w:val="3"/>
        <w:tabs>
          <w:tab w:val="left" w:pos="360"/>
          <w:tab w:val="clear" w:pos="480"/>
        </w:tabs>
        <w:spacing w:before="115" w:beforeLines="25" w:after="115" w:afterLines="25" w:line="240" w:lineRule="auto"/>
        <w:rPr>
          <w:rFonts w:ascii="Times New Roman" w:hAnsi="Times New Roman"/>
          <w:bCs w:val="0"/>
        </w:rPr>
      </w:pPr>
      <w:bookmarkStart w:id="91" w:name="_Toc480551525"/>
      <w:bookmarkStart w:id="92" w:name="_Toc326585995"/>
      <w:bookmarkStart w:id="93" w:name="_Toc326850004"/>
      <w:bookmarkStart w:id="94" w:name="_Toc325294284"/>
      <w:bookmarkStart w:id="95" w:name="_Toc2933"/>
      <w:bookmarkStart w:id="96" w:name="_Toc326808357"/>
      <w:bookmarkStart w:id="97" w:name="_Toc327251570"/>
      <w:r>
        <w:rPr>
          <w:rFonts w:hint="eastAsia" w:ascii="Times New Roman" w:hAnsi="Times New Roman"/>
          <w:bCs w:val="0"/>
          <w:sz w:val="24"/>
          <w:szCs w:val="24"/>
        </w:rPr>
        <w:t>7</w:t>
      </w:r>
      <w:r>
        <w:rPr>
          <w:rFonts w:ascii="Times New Roman" w:hAnsi="Times New Roman"/>
          <w:bCs w:val="0"/>
          <w:sz w:val="24"/>
          <w:szCs w:val="24"/>
        </w:rPr>
        <w:t>.1</w:t>
      </w:r>
      <w:r>
        <w:rPr>
          <w:rFonts w:hint="eastAsia" w:ascii="Times New Roman" w:hAnsi="Times New Roman"/>
          <w:sz w:val="24"/>
          <w:szCs w:val="24"/>
        </w:rPr>
        <w:t xml:space="preserve"> </w:t>
      </w:r>
      <w:r>
        <w:rPr>
          <w:rFonts w:ascii="Times New Roman" w:hAnsi="Times New Roman"/>
          <w:sz w:val="24"/>
          <w:szCs w:val="24"/>
        </w:rPr>
        <w:t>风险</w:t>
      </w:r>
      <w:r>
        <w:rPr>
          <w:rFonts w:ascii="Times New Roman" w:hAnsi="Times New Roman"/>
          <w:bCs w:val="0"/>
          <w:sz w:val="24"/>
          <w:szCs w:val="24"/>
        </w:rPr>
        <w:t>分布</w:t>
      </w:r>
      <w:bookmarkEnd w:id="91"/>
      <w:bookmarkEnd w:id="92"/>
      <w:bookmarkEnd w:id="93"/>
      <w:bookmarkEnd w:id="94"/>
      <w:bookmarkEnd w:id="95"/>
      <w:bookmarkEnd w:id="96"/>
      <w:bookmarkEnd w:id="97"/>
    </w:p>
    <w:p w14:paraId="3FB8FE95">
      <w:pPr>
        <w:autoSpaceDE w:val="0"/>
        <w:autoSpaceDN w:val="0"/>
        <w:spacing w:line="240" w:lineRule="auto"/>
        <w:ind w:firstLine="482"/>
        <w:rPr>
          <w:rFonts w:ascii="Times New Roman" w:hAnsi="Times New Roman"/>
          <w:bCs/>
        </w:rPr>
      </w:pPr>
      <w:r>
        <w:rPr>
          <w:rFonts w:hint="eastAsia" w:ascii="Times New Roman" w:hAnsi="Times New Roman"/>
          <w:bCs/>
          <w:szCs w:val="20"/>
          <w:lang w:val="zh-CN"/>
        </w:rPr>
        <w:t>评估范围内</w:t>
      </w:r>
      <w:r>
        <w:rPr>
          <w:rFonts w:ascii="Times New Roman" w:hAnsi="Times New Roman"/>
          <w:bCs/>
        </w:rPr>
        <w:t>设备的风险矩阵见图</w:t>
      </w:r>
      <w:r>
        <w:rPr>
          <w:rFonts w:hint="eastAsia" w:ascii="Times New Roman" w:hAnsi="Times New Roman"/>
          <w:bCs/>
        </w:rPr>
        <w:t>7</w:t>
      </w:r>
      <w:r>
        <w:rPr>
          <w:rFonts w:ascii="Times New Roman" w:hAnsi="Times New Roman"/>
          <w:bCs/>
        </w:rPr>
        <w:t>-1。</w:t>
      </w:r>
      <w:r>
        <w:rPr>
          <w:rFonts w:hint="eastAsia" w:ascii="Times New Roman" w:hAnsi="Times New Roman"/>
          <w:bCs/>
          <w:lang w:val="en-US" w:eastAsia="zh-CN"/>
        </w:rPr>
        <w:t>经近三次定期检验数据的修正，评估结果中无</w:t>
      </w:r>
      <w:r>
        <w:rPr>
          <w:rFonts w:hint="eastAsia" w:ascii="Times New Roman" w:hAnsi="Times New Roman"/>
          <w:bCs/>
        </w:rPr>
        <w:t>失效可能性为4的容器。</w:t>
      </w:r>
    </w:p>
    <w:p w14:paraId="355ACABB">
      <w:pPr>
        <w:autoSpaceDE w:val="0"/>
        <w:autoSpaceDN w:val="0"/>
        <w:spacing w:line="240" w:lineRule="auto"/>
        <w:jc w:val="center"/>
        <w:rPr>
          <w:rFonts w:ascii="Times New Roman" w:hAnsi="Times New Roman"/>
          <w:bCs/>
        </w:rPr>
      </w:pPr>
      <w:r>
        <w:pict>
          <v:shape id="_x0000_i1037" o:spt="75" type="#_x0000_t75" style="height:206.05pt;width:439.3pt;" filled="f" stroked="f" coordsize="21600,21600">
            <v:path/>
            <v:fill on="f" focussize="0,0"/>
            <v:stroke on="f"/>
            <v:imagedata r:id="rId20" o:title=""/>
            <o:lock v:ext="edit" aspectratio="t"/>
            <w10:wrap type="none"/>
            <w10:anchorlock/>
          </v:shape>
        </w:pict>
      </w:r>
    </w:p>
    <w:p w14:paraId="7E6DF5C2">
      <w:pPr>
        <w:autoSpaceDE w:val="0"/>
        <w:autoSpaceDN w:val="0"/>
        <w:spacing w:line="240" w:lineRule="auto"/>
        <w:ind w:firstLine="482"/>
        <w:jc w:val="center"/>
        <w:rPr>
          <w:rFonts w:ascii="Times New Roman" w:hAnsi="Times New Roman"/>
          <w:bCs/>
        </w:rPr>
      </w:pPr>
      <w:r>
        <w:rPr>
          <w:rFonts w:ascii="Times New Roman" w:hAnsi="Times New Roman"/>
          <w:bCs/>
        </w:rPr>
        <w:t>图</w:t>
      </w:r>
      <w:r>
        <w:rPr>
          <w:rFonts w:hint="eastAsia" w:ascii="Times New Roman" w:hAnsi="Times New Roman"/>
          <w:bCs/>
        </w:rPr>
        <w:t>7</w:t>
      </w:r>
      <w:r>
        <w:rPr>
          <w:rFonts w:ascii="Times New Roman" w:hAnsi="Times New Roman"/>
          <w:bCs/>
        </w:rPr>
        <w:t>-1设备风险矩阵图</w:t>
      </w:r>
    </w:p>
    <w:p w14:paraId="5A5D13D8">
      <w:pPr>
        <w:pStyle w:val="3"/>
        <w:tabs>
          <w:tab w:val="left" w:pos="360"/>
          <w:tab w:val="clear" w:pos="480"/>
        </w:tabs>
        <w:spacing w:before="115" w:beforeLines="25" w:after="115" w:afterLines="25" w:line="240" w:lineRule="auto"/>
        <w:rPr>
          <w:rFonts w:ascii="Times New Roman" w:hAnsi="Times New Roman"/>
          <w:bCs w:val="0"/>
          <w:color w:val="000000"/>
          <w:sz w:val="24"/>
          <w:szCs w:val="24"/>
        </w:rPr>
      </w:pPr>
      <w:bookmarkStart w:id="98" w:name="_Toc480551527"/>
      <w:bookmarkStart w:id="99" w:name="_Toc28957"/>
      <w:bookmarkStart w:id="100" w:name="_Toc326585997"/>
      <w:bookmarkStart w:id="101" w:name="_Toc326850006"/>
      <w:bookmarkStart w:id="102" w:name="_Toc326808359"/>
      <w:bookmarkStart w:id="103" w:name="_Toc325294286"/>
      <w:bookmarkStart w:id="104" w:name="_Toc432493011"/>
      <w:bookmarkStart w:id="105" w:name="_Toc480551597"/>
      <w:bookmarkStart w:id="106" w:name="_Toc327251572"/>
      <w:r>
        <w:rPr>
          <w:rFonts w:hint="eastAsia" w:ascii="Times New Roman" w:hAnsi="Times New Roman"/>
          <w:bCs w:val="0"/>
          <w:color w:val="000000"/>
          <w:sz w:val="24"/>
          <w:szCs w:val="24"/>
        </w:rPr>
        <w:t>7</w:t>
      </w:r>
      <w:r>
        <w:rPr>
          <w:rFonts w:ascii="Times New Roman" w:hAnsi="Times New Roman"/>
          <w:bCs w:val="0"/>
          <w:color w:val="000000"/>
          <w:sz w:val="24"/>
          <w:szCs w:val="24"/>
        </w:rPr>
        <w:t>.</w:t>
      </w:r>
      <w:r>
        <w:rPr>
          <w:rFonts w:hint="eastAsia" w:ascii="Times New Roman" w:hAnsi="Times New Roman"/>
          <w:bCs w:val="0"/>
          <w:color w:val="000000"/>
          <w:sz w:val="24"/>
          <w:szCs w:val="24"/>
        </w:rPr>
        <w:t>2</w:t>
      </w:r>
      <w:bookmarkStart w:id="107" w:name="_Hlk233725811"/>
      <w:r>
        <w:rPr>
          <w:rFonts w:hint="eastAsia" w:ascii="Times New Roman" w:hAnsi="Times New Roman"/>
          <w:sz w:val="24"/>
        </w:rPr>
        <w:t xml:space="preserve"> </w:t>
      </w:r>
      <w:r>
        <w:rPr>
          <w:rFonts w:ascii="Times New Roman" w:hAnsi="Times New Roman"/>
          <w:bCs w:val="0"/>
          <w:color w:val="000000"/>
          <w:sz w:val="24"/>
          <w:szCs w:val="24"/>
        </w:rPr>
        <w:t>高风险及高失效可能性设备原因分析</w:t>
      </w:r>
      <w:bookmarkEnd w:id="98"/>
      <w:bookmarkEnd w:id="99"/>
      <w:bookmarkEnd w:id="100"/>
      <w:bookmarkEnd w:id="101"/>
      <w:bookmarkEnd w:id="102"/>
      <w:bookmarkEnd w:id="103"/>
      <w:bookmarkEnd w:id="104"/>
      <w:bookmarkEnd w:id="105"/>
      <w:bookmarkEnd w:id="106"/>
      <w:bookmarkEnd w:id="107"/>
    </w:p>
    <w:p w14:paraId="62AFC444">
      <w:pPr>
        <w:spacing w:line="240" w:lineRule="auto"/>
        <w:ind w:firstLine="480" w:firstLineChars="200"/>
        <w:jc w:val="both"/>
        <w:rPr>
          <w:rFonts w:hint="eastAsia" w:ascii="Times New Roman" w:hAnsi="Times New Roman"/>
          <w:lang w:val="zh-CN"/>
        </w:rPr>
      </w:pPr>
      <w:r>
        <w:rPr>
          <w:rFonts w:hint="eastAsia" w:ascii="Times New Roman" w:hAnsi="Times New Roman"/>
          <w:lang w:val="en-US" w:eastAsia="zh-CN"/>
        </w:rPr>
        <w:t>无高风险及高失效可能性设备</w:t>
      </w:r>
      <w:r>
        <w:rPr>
          <w:rFonts w:hint="eastAsia" w:ascii="Times New Roman" w:hAnsi="Times New Roman"/>
          <w:lang w:val="zh-CN"/>
        </w:rPr>
        <w:t>。</w:t>
      </w:r>
      <w:bookmarkStart w:id="108" w:name="_Toc535510217"/>
    </w:p>
    <w:p w14:paraId="2850A4AD">
      <w:pPr>
        <w:pStyle w:val="3"/>
        <w:tabs>
          <w:tab w:val="left" w:pos="360"/>
          <w:tab w:val="clear" w:pos="480"/>
        </w:tabs>
        <w:spacing w:before="115" w:beforeLines="25" w:after="115" w:afterLines="25" w:line="240" w:lineRule="auto"/>
        <w:rPr>
          <w:rFonts w:ascii="Times New Roman" w:hAnsi="Times New Roman"/>
          <w:sz w:val="24"/>
          <w:szCs w:val="24"/>
        </w:rPr>
      </w:pPr>
      <w:bookmarkStart w:id="109" w:name="_Toc17626"/>
      <w:r>
        <w:rPr>
          <w:rFonts w:hint="eastAsia" w:ascii="Times New Roman" w:hAnsi="Times New Roman"/>
          <w:bCs w:val="0"/>
          <w:color w:val="000000"/>
          <w:sz w:val="24"/>
          <w:szCs w:val="24"/>
        </w:rPr>
        <w:t>7</w:t>
      </w:r>
      <w:r>
        <w:rPr>
          <w:rFonts w:ascii="Times New Roman" w:hAnsi="Times New Roman"/>
          <w:bCs w:val="0"/>
          <w:color w:val="000000"/>
          <w:sz w:val="24"/>
          <w:szCs w:val="24"/>
        </w:rPr>
        <w:t>.</w:t>
      </w:r>
      <w:r>
        <w:rPr>
          <w:rFonts w:hint="eastAsia" w:ascii="Times New Roman" w:hAnsi="Times New Roman"/>
          <w:bCs w:val="0"/>
          <w:color w:val="000000"/>
          <w:sz w:val="24"/>
          <w:szCs w:val="24"/>
        </w:rPr>
        <w:t xml:space="preserve">3 </w:t>
      </w:r>
      <w:bookmarkEnd w:id="108"/>
      <w:bookmarkStart w:id="110" w:name="_Toc98261476"/>
      <w:r>
        <w:rPr>
          <w:rFonts w:hint="eastAsia" w:ascii="Times New Roman" w:hAnsi="Times New Roman"/>
          <w:bCs w:val="0"/>
          <w:color w:val="000000"/>
          <w:sz w:val="24"/>
          <w:szCs w:val="24"/>
        </w:rPr>
        <w:t>降险措施</w:t>
      </w:r>
      <w:bookmarkEnd w:id="109"/>
    </w:p>
    <w:p w14:paraId="7ACDA917">
      <w:pPr>
        <w:spacing w:line="240" w:lineRule="auto"/>
        <w:ind w:firstLine="480" w:firstLineChars="200"/>
        <w:jc w:val="both"/>
        <w:rPr>
          <w:rFonts w:hint="eastAsia" w:ascii="Times New Roman" w:hAnsi="Times New Roman"/>
          <w:lang w:val="zh-CN"/>
        </w:rPr>
      </w:pPr>
      <w:r>
        <w:rPr>
          <w:rFonts w:hint="eastAsia" w:ascii="Times New Roman" w:hAnsi="Times New Roman"/>
          <w:lang w:val="zh-CN"/>
        </w:rPr>
        <w:t>对于高风险及失效可能性为4的中高风险容器</w:t>
      </w:r>
      <w:r>
        <w:rPr>
          <w:rFonts w:hint="eastAsia" w:ascii="Times New Roman" w:hAnsi="Times New Roman"/>
          <w:lang w:val="en-US" w:eastAsia="zh-CN"/>
        </w:rPr>
        <w:t>或在历次检验中发现腐蚀问题的设备</w:t>
      </w:r>
      <w:r>
        <w:rPr>
          <w:rFonts w:hint="eastAsia" w:ascii="Times New Roman" w:hAnsi="Times New Roman"/>
          <w:lang w:val="zh-CN"/>
        </w:rPr>
        <w:t>，运行中应重点关注，建议采取以下措施以降低运行风险：加大现场巡检力度，完善泄漏报警设置，做好泄漏应急预案等，必要时可增加在线检验或状态监测。如果发现影响安全运行的异常情况，则需进行整改。详见附录</w:t>
      </w:r>
      <w:r>
        <w:rPr>
          <w:rFonts w:hint="eastAsia" w:ascii="Times New Roman" w:hAnsi="Times New Roman"/>
          <w:lang w:val="en-US" w:eastAsia="zh-CN"/>
        </w:rPr>
        <w:t>2</w:t>
      </w:r>
      <w:r>
        <w:rPr>
          <w:rFonts w:hint="eastAsia" w:ascii="Times New Roman" w:hAnsi="Times New Roman"/>
          <w:lang w:val="zh-CN"/>
        </w:rPr>
        <w:t>。</w:t>
      </w:r>
    </w:p>
    <w:bookmarkEnd w:id="110"/>
    <w:p w14:paraId="4413D4AF">
      <w:pPr>
        <w:pStyle w:val="2"/>
        <w:numPr>
          <w:ilvl w:val="0"/>
          <w:numId w:val="3"/>
        </w:numPr>
        <w:spacing w:before="230" w:after="230"/>
      </w:pPr>
      <w:bookmarkStart w:id="111" w:name="_Toc325294290"/>
      <w:bookmarkStart w:id="112" w:name="_Toc326850011"/>
      <w:bookmarkStart w:id="113" w:name="_Toc326808364"/>
      <w:bookmarkStart w:id="114" w:name="_Toc327251577"/>
      <w:bookmarkStart w:id="115" w:name="_Toc326586002"/>
      <w:bookmarkStart w:id="116" w:name="_Toc22329"/>
      <w:bookmarkStart w:id="117" w:name="_Toc480551528"/>
      <w:bookmarkStart w:id="118" w:name="_Toc98261490"/>
      <w:r>
        <w:t>检验策略</w:t>
      </w:r>
      <w:bookmarkEnd w:id="111"/>
      <w:bookmarkEnd w:id="112"/>
      <w:bookmarkEnd w:id="113"/>
      <w:bookmarkEnd w:id="114"/>
      <w:bookmarkEnd w:id="115"/>
      <w:bookmarkEnd w:id="116"/>
      <w:bookmarkEnd w:id="117"/>
    </w:p>
    <w:p w14:paraId="0F9050B6">
      <w:pPr>
        <w:spacing w:line="240" w:lineRule="auto"/>
        <w:ind w:firstLine="480" w:firstLineChars="200"/>
        <w:jc w:val="both"/>
        <w:rPr>
          <w:rFonts w:ascii="Times New Roman" w:hAnsi="Times New Roman"/>
          <w:lang w:val="zh-CN"/>
        </w:rPr>
      </w:pPr>
      <w:r>
        <w:rPr>
          <w:rFonts w:ascii="Times New Roman" w:hAnsi="Times New Roman"/>
          <w:lang w:val="zh-CN"/>
        </w:rPr>
        <w:t>通过风险评估制定的检验策略为推荐性的，《固定式压力容器安全技术监察规程》（TSG 21-2016）中对此有专门说明。风险评估无法识别因人为错误、自然灾害、外部事件、人为破坏、检测能力限制、设计错误等因素导致的风险（见图</w:t>
      </w:r>
      <w:r>
        <w:rPr>
          <w:rFonts w:hint="eastAsia" w:ascii="Times New Roman" w:hAnsi="Times New Roman"/>
          <w:lang w:val="zh-CN"/>
        </w:rPr>
        <w:t>8</w:t>
      </w:r>
      <w:r>
        <w:rPr>
          <w:rFonts w:ascii="Times New Roman" w:hAnsi="Times New Roman"/>
          <w:lang w:val="zh-CN"/>
        </w:rPr>
        <w:t>-1），检验本身也不能改变设备的状况</w:t>
      </w:r>
      <w:r>
        <w:rPr>
          <w:rFonts w:hint="eastAsia" w:ascii="Times New Roman" w:hAnsi="Times New Roman"/>
          <w:lang w:val="zh-CN"/>
        </w:rPr>
        <w:t>，</w:t>
      </w:r>
      <w:r>
        <w:rPr>
          <w:rFonts w:ascii="Times New Roman" w:hAnsi="Times New Roman"/>
          <w:lang w:val="zh-CN"/>
        </w:rPr>
        <w:t>替代修理</w:t>
      </w:r>
      <w:r>
        <w:rPr>
          <w:rFonts w:hint="eastAsia" w:ascii="Times New Roman" w:hAnsi="Times New Roman"/>
          <w:lang w:val="zh-CN"/>
        </w:rPr>
        <w:t>，</w:t>
      </w:r>
      <w:r>
        <w:rPr>
          <w:rFonts w:ascii="Times New Roman" w:hAnsi="Times New Roman"/>
          <w:lang w:val="zh-CN"/>
        </w:rPr>
        <w:t>更换服役的受损设备或超过工艺条件的要求。因此，所制定</w:t>
      </w:r>
      <w:r>
        <w:rPr>
          <w:rFonts w:hint="eastAsia" w:ascii="Times New Roman" w:hAnsi="Times New Roman"/>
          <w:lang w:val="zh-CN"/>
        </w:rPr>
        <w:t>的检验</w:t>
      </w:r>
      <w:r>
        <w:rPr>
          <w:rFonts w:ascii="Times New Roman" w:hAnsi="Times New Roman"/>
          <w:lang w:val="zh-CN"/>
        </w:rPr>
        <w:t>策略并不能完全覆盖</w:t>
      </w:r>
      <w:r>
        <w:rPr>
          <w:rFonts w:hint="eastAsia" w:ascii="Times New Roman" w:hAnsi="Times New Roman"/>
          <w:lang w:val="zh-CN"/>
        </w:rPr>
        <w:t>和</w:t>
      </w:r>
      <w:r>
        <w:rPr>
          <w:rFonts w:ascii="Times New Roman" w:hAnsi="Times New Roman"/>
          <w:lang w:val="zh-CN"/>
        </w:rPr>
        <w:t>解决这些影响因素所造成的实际问题，本策略所要求的检验手段及检验比例为最低标准，现场检验人员还应综合设计、制造及实际使用情况，在本策略的基础上做适当的调整，是否采用本策略应由现场检验人员与厂方协商决定。</w:t>
      </w:r>
    </w:p>
    <w:p w14:paraId="5E27C99F">
      <w:pPr>
        <w:spacing w:line="240" w:lineRule="auto"/>
        <w:ind w:firstLine="480" w:firstLineChars="200"/>
        <w:jc w:val="both"/>
        <w:rPr>
          <w:rFonts w:ascii="Times New Roman" w:hAnsi="Times New Roman"/>
          <w:lang w:val="zh-CN"/>
        </w:rPr>
      </w:pPr>
      <w:r>
        <w:rPr>
          <w:rFonts w:ascii="Times New Roman" w:hAnsi="Times New Roman"/>
          <w:lang w:val="zh-CN"/>
        </w:rPr>
        <w:t>遇到某种无法通过检验程序降低风险的情况时，工厂有责任采取必要的补救措施：补救措施可以</w:t>
      </w:r>
      <w:r>
        <w:rPr>
          <w:rFonts w:hint="eastAsia" w:ascii="Times New Roman" w:hAnsi="Times New Roman"/>
          <w:lang w:val="zh-CN"/>
        </w:rPr>
        <w:t>是</w:t>
      </w:r>
      <w:r>
        <w:rPr>
          <w:rFonts w:ascii="Times New Roman" w:hAnsi="Times New Roman"/>
          <w:lang w:val="zh-CN"/>
        </w:rPr>
        <w:t>返修、更换设备或者调整操作条件</w:t>
      </w:r>
      <w:r>
        <w:rPr>
          <w:rFonts w:hint="eastAsia" w:ascii="Times New Roman" w:hAnsi="Times New Roman"/>
          <w:lang w:val="zh-CN"/>
        </w:rPr>
        <w:t>（降低等级）</w:t>
      </w:r>
      <w:r>
        <w:rPr>
          <w:rFonts w:ascii="Times New Roman" w:hAnsi="Times New Roman"/>
          <w:lang w:val="zh-CN"/>
        </w:rPr>
        <w:t>来降低风险或提高安全防范等级。</w:t>
      </w:r>
    </w:p>
    <w:p w14:paraId="5A2BDDBC">
      <w:pPr>
        <w:pStyle w:val="3"/>
        <w:tabs>
          <w:tab w:val="left" w:pos="360"/>
          <w:tab w:val="clear" w:pos="480"/>
        </w:tabs>
        <w:spacing w:before="115" w:beforeLines="25" w:after="115" w:afterLines="25"/>
        <w:rPr>
          <w:rFonts w:ascii="Times New Roman" w:hAnsi="Times New Roman"/>
          <w:bCs w:val="0"/>
          <w:sz w:val="24"/>
          <w:szCs w:val="24"/>
        </w:rPr>
      </w:pPr>
      <w:bookmarkStart w:id="119" w:name="_Toc433535281"/>
      <w:bookmarkStart w:id="120" w:name="_Toc432493173"/>
      <w:bookmarkStart w:id="121" w:name="_Toc432493017"/>
      <w:bookmarkStart w:id="122" w:name="_Toc435821674"/>
      <w:bookmarkStart w:id="123" w:name="_Toc436802795"/>
      <w:bookmarkStart w:id="124" w:name="_Toc480551529"/>
      <w:bookmarkStart w:id="125" w:name="_Toc25672"/>
      <w:r>
        <w:rPr>
          <w:rFonts w:hint="eastAsia" w:ascii="Times New Roman" w:hAnsi="Times New Roman"/>
          <w:bCs w:val="0"/>
          <w:sz w:val="24"/>
          <w:szCs w:val="24"/>
        </w:rPr>
        <w:t>8</w:t>
      </w:r>
      <w:r>
        <w:rPr>
          <w:rFonts w:ascii="Times New Roman" w:hAnsi="Times New Roman"/>
          <w:bCs w:val="0"/>
          <w:sz w:val="24"/>
          <w:szCs w:val="24"/>
        </w:rPr>
        <w:t>.1</w:t>
      </w:r>
      <w:r>
        <w:rPr>
          <w:rFonts w:hint="eastAsia" w:ascii="Times New Roman" w:hAnsi="Times New Roman"/>
          <w:bCs w:val="0"/>
          <w:sz w:val="24"/>
          <w:szCs w:val="24"/>
        </w:rPr>
        <w:t xml:space="preserve"> </w:t>
      </w:r>
      <w:r>
        <w:rPr>
          <w:rFonts w:ascii="Times New Roman" w:hAnsi="Times New Roman"/>
          <w:bCs w:val="0"/>
          <w:sz w:val="24"/>
          <w:szCs w:val="24"/>
        </w:rPr>
        <w:t>检验策略制定的基本原则</w:t>
      </w:r>
      <w:bookmarkEnd w:id="119"/>
      <w:bookmarkEnd w:id="120"/>
      <w:bookmarkEnd w:id="121"/>
      <w:bookmarkEnd w:id="122"/>
      <w:bookmarkEnd w:id="123"/>
      <w:bookmarkEnd w:id="124"/>
      <w:bookmarkEnd w:id="125"/>
    </w:p>
    <w:p w14:paraId="5E4E0560">
      <w:pPr>
        <w:widowControl w:val="0"/>
        <w:numPr>
          <w:ilvl w:val="0"/>
          <w:numId w:val="12"/>
        </w:numPr>
        <w:spacing w:line="240" w:lineRule="auto"/>
        <w:ind w:firstLine="6"/>
        <w:jc w:val="both"/>
        <w:rPr>
          <w:rFonts w:ascii="Times New Roman" w:hAnsi="Times New Roman"/>
          <w:lang w:val="zh-CN"/>
        </w:rPr>
      </w:pPr>
      <w:r>
        <w:rPr>
          <w:rFonts w:ascii="Times New Roman" w:hAnsi="Times New Roman"/>
          <w:lang w:val="zh-CN"/>
        </w:rPr>
        <w:t>根据损伤模式和损伤</w:t>
      </w:r>
      <w:r>
        <w:rPr>
          <w:rFonts w:hint="eastAsia" w:ascii="Times New Roman" w:hAnsi="Times New Roman"/>
          <w:lang w:val="zh-CN"/>
        </w:rPr>
        <w:t>机理</w:t>
      </w:r>
      <w:r>
        <w:rPr>
          <w:rFonts w:ascii="Times New Roman" w:hAnsi="Times New Roman"/>
          <w:lang w:val="zh-CN"/>
        </w:rPr>
        <w:t>确定应检查的缺陷类型；</w:t>
      </w:r>
    </w:p>
    <w:p w14:paraId="50B0D1F9">
      <w:pPr>
        <w:widowControl w:val="0"/>
        <w:numPr>
          <w:ilvl w:val="0"/>
          <w:numId w:val="12"/>
        </w:numPr>
        <w:spacing w:line="240" w:lineRule="auto"/>
        <w:ind w:firstLine="6"/>
        <w:jc w:val="both"/>
        <w:rPr>
          <w:rFonts w:ascii="Times New Roman" w:hAnsi="Times New Roman"/>
          <w:lang w:val="zh-CN"/>
        </w:rPr>
      </w:pPr>
      <w:r>
        <w:rPr>
          <w:rFonts w:ascii="Times New Roman" w:hAnsi="Times New Roman"/>
          <w:lang w:val="zh-CN"/>
        </w:rPr>
        <w:t>根据损伤发生的</w:t>
      </w:r>
      <w:r>
        <w:rPr>
          <w:rFonts w:hint="eastAsia" w:ascii="Times New Roman" w:hAnsi="Times New Roman"/>
          <w:lang w:val="zh-CN"/>
        </w:rPr>
        <w:t>情况</w:t>
      </w:r>
      <w:r>
        <w:rPr>
          <w:rFonts w:ascii="Times New Roman" w:hAnsi="Times New Roman"/>
          <w:lang w:val="zh-CN"/>
        </w:rPr>
        <w:t>选择检验部位；</w:t>
      </w:r>
    </w:p>
    <w:p w14:paraId="6DC905A3">
      <w:pPr>
        <w:widowControl w:val="0"/>
        <w:numPr>
          <w:ilvl w:val="0"/>
          <w:numId w:val="12"/>
        </w:numPr>
        <w:spacing w:line="240" w:lineRule="auto"/>
        <w:ind w:firstLine="6"/>
        <w:jc w:val="both"/>
        <w:rPr>
          <w:rFonts w:ascii="Times New Roman" w:hAnsi="Times New Roman"/>
          <w:lang w:val="zh-CN"/>
        </w:rPr>
      </w:pPr>
      <w:r>
        <w:rPr>
          <w:rFonts w:ascii="Times New Roman" w:hAnsi="Times New Roman"/>
          <w:lang w:val="zh-CN"/>
        </w:rPr>
        <w:t>根据需检测缺陷类型来选择采用何种检测方法；</w:t>
      </w:r>
    </w:p>
    <w:p w14:paraId="6C454193">
      <w:pPr>
        <w:widowControl w:val="0"/>
        <w:numPr>
          <w:ilvl w:val="0"/>
          <w:numId w:val="12"/>
        </w:numPr>
        <w:spacing w:line="240" w:lineRule="auto"/>
        <w:ind w:firstLine="6"/>
        <w:jc w:val="both"/>
        <w:rPr>
          <w:rFonts w:ascii="Times New Roman" w:hAnsi="Times New Roman"/>
          <w:lang w:val="zh-CN"/>
        </w:rPr>
      </w:pPr>
      <w:r>
        <w:rPr>
          <w:rFonts w:ascii="Times New Roman" w:hAnsi="Times New Roman"/>
          <w:lang w:val="zh-CN"/>
        </w:rPr>
        <w:t>根据安全性与经济性协调统一的</w:t>
      </w:r>
      <w:r>
        <w:rPr>
          <w:rFonts w:hint="eastAsia" w:ascii="Times New Roman" w:hAnsi="Times New Roman"/>
          <w:lang w:val="zh-CN"/>
        </w:rPr>
        <w:t>原则</w:t>
      </w:r>
      <w:r>
        <w:rPr>
          <w:rFonts w:ascii="Times New Roman" w:hAnsi="Times New Roman"/>
          <w:lang w:val="zh-CN"/>
        </w:rPr>
        <w:t>确定检验周期。</w:t>
      </w:r>
    </w:p>
    <w:p w14:paraId="2DB8E7DD">
      <w:pPr>
        <w:pStyle w:val="3"/>
        <w:tabs>
          <w:tab w:val="left" w:pos="360"/>
          <w:tab w:val="clear" w:pos="480"/>
        </w:tabs>
        <w:spacing w:before="115" w:beforeLines="25" w:after="115" w:afterLines="25"/>
        <w:rPr>
          <w:rFonts w:ascii="Times New Roman" w:hAnsi="Times New Roman"/>
          <w:bCs w:val="0"/>
          <w:sz w:val="24"/>
          <w:szCs w:val="24"/>
        </w:rPr>
      </w:pPr>
      <w:bookmarkStart w:id="126" w:name="_Toc432493174"/>
      <w:bookmarkStart w:id="127" w:name="_Toc435821675"/>
      <w:bookmarkStart w:id="128" w:name="_Toc27077"/>
      <w:bookmarkStart w:id="129" w:name="_Toc480551530"/>
      <w:bookmarkStart w:id="130" w:name="_Toc433535282"/>
      <w:bookmarkStart w:id="131" w:name="_Toc436802796"/>
      <w:bookmarkStart w:id="132" w:name="_Toc432493018"/>
      <w:r>
        <w:rPr>
          <w:rFonts w:hint="eastAsia" w:ascii="Times New Roman" w:hAnsi="Times New Roman"/>
          <w:bCs w:val="0"/>
          <w:sz w:val="24"/>
          <w:szCs w:val="24"/>
        </w:rPr>
        <w:t>8</w:t>
      </w:r>
      <w:r>
        <w:rPr>
          <w:rFonts w:ascii="Times New Roman" w:hAnsi="Times New Roman"/>
          <w:bCs w:val="0"/>
          <w:sz w:val="24"/>
          <w:szCs w:val="24"/>
        </w:rPr>
        <w:t>.2</w:t>
      </w:r>
      <w:r>
        <w:rPr>
          <w:rFonts w:hint="eastAsia" w:ascii="Times New Roman" w:hAnsi="Times New Roman"/>
          <w:bCs w:val="0"/>
          <w:sz w:val="24"/>
          <w:szCs w:val="24"/>
        </w:rPr>
        <w:t xml:space="preserve"> </w:t>
      </w:r>
      <w:r>
        <w:rPr>
          <w:rFonts w:ascii="Times New Roman" w:hAnsi="Times New Roman"/>
          <w:bCs w:val="0"/>
          <w:sz w:val="24"/>
          <w:szCs w:val="24"/>
        </w:rPr>
        <w:t>设备检验策略</w:t>
      </w:r>
      <w:bookmarkEnd w:id="126"/>
      <w:bookmarkEnd w:id="127"/>
      <w:bookmarkEnd w:id="128"/>
      <w:bookmarkEnd w:id="129"/>
      <w:bookmarkEnd w:id="130"/>
      <w:bookmarkEnd w:id="131"/>
      <w:bookmarkEnd w:id="132"/>
    </w:p>
    <w:p w14:paraId="0EF5820E">
      <w:pPr>
        <w:widowControl w:val="0"/>
        <w:numPr>
          <w:ilvl w:val="1"/>
          <w:numId w:val="13"/>
        </w:numPr>
        <w:spacing w:line="240" w:lineRule="auto"/>
        <w:ind w:hanging="414"/>
        <w:jc w:val="both"/>
        <w:rPr>
          <w:rFonts w:ascii="Times New Roman" w:hAnsi="Times New Roman"/>
          <w:lang w:val="zh-CN"/>
        </w:rPr>
      </w:pPr>
      <w:r>
        <w:rPr>
          <w:rFonts w:ascii="Times New Roman" w:hAnsi="Times New Roman"/>
          <w:lang w:val="zh-CN"/>
        </w:rPr>
        <w:t>以设备部件为基本单元编制检验策略</w:t>
      </w:r>
      <w:r>
        <w:rPr>
          <w:rFonts w:hint="eastAsia" w:ascii="Times New Roman" w:hAnsi="Times New Roman"/>
          <w:lang w:val="zh-CN"/>
        </w:rPr>
        <w:t>。</w:t>
      </w:r>
    </w:p>
    <w:p w14:paraId="0E37D189">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由于壁厚是每次进行风险评估与再评估的关键数据，因此一般情况下宏观检查和测厚作为必检项目</w:t>
      </w:r>
      <w:r>
        <w:rPr>
          <w:rFonts w:hint="eastAsia" w:ascii="Times New Roman" w:hAnsi="Times New Roman"/>
          <w:lang w:val="zh-CN"/>
        </w:rPr>
        <w:t>。</w:t>
      </w:r>
    </w:p>
    <w:p w14:paraId="7CED3AE1">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插入式接管角焊缝、设备进出料接管及接管正对方位器壁、液位波动部位等，应加以重点检验</w:t>
      </w:r>
      <w:r>
        <w:rPr>
          <w:rFonts w:hint="eastAsia" w:ascii="Times New Roman" w:hAnsi="Times New Roman"/>
          <w:lang w:val="zh-CN"/>
        </w:rPr>
        <w:t>。</w:t>
      </w:r>
    </w:p>
    <w:p w14:paraId="71B6DA5E">
      <w:pPr>
        <w:widowControl w:val="0"/>
        <w:numPr>
          <w:ilvl w:val="1"/>
          <w:numId w:val="13"/>
        </w:numPr>
        <w:spacing w:line="240" w:lineRule="auto"/>
        <w:ind w:hanging="414"/>
        <w:jc w:val="both"/>
        <w:rPr>
          <w:rFonts w:ascii="Times New Roman" w:hAnsi="Times New Roman"/>
          <w:lang w:val="zh-CN"/>
        </w:rPr>
      </w:pPr>
      <w:r>
        <w:rPr>
          <w:rFonts w:ascii="Times New Roman" w:hAnsi="Times New Roman"/>
          <w:lang w:val="zh-CN"/>
        </w:rPr>
        <w:t>对仅存在减薄可能性的设备，以宏观检查和测厚为主</w:t>
      </w:r>
      <w:r>
        <w:rPr>
          <w:rFonts w:hint="eastAsia" w:ascii="Times New Roman" w:hAnsi="Times New Roman"/>
          <w:lang w:val="zh-CN"/>
        </w:rPr>
        <w:t>。</w:t>
      </w:r>
    </w:p>
    <w:p w14:paraId="049F7F42">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对存在环境开裂失效模式的设备部件应尽可能进入设备内部对焊缝部位进行湿荧光磁粉检测或渗透检测，不能进入的设备则进行外壁超声</w:t>
      </w:r>
      <w:r>
        <w:rPr>
          <w:rFonts w:hint="eastAsia" w:ascii="Times New Roman" w:hAnsi="Times New Roman"/>
          <w:lang w:val="zh-CN"/>
        </w:rPr>
        <w:t>（或射线）</w:t>
      </w:r>
      <w:r>
        <w:rPr>
          <w:rFonts w:ascii="Times New Roman" w:hAnsi="Times New Roman"/>
          <w:lang w:val="zh-CN"/>
        </w:rPr>
        <w:t>检测</w:t>
      </w:r>
      <w:r>
        <w:rPr>
          <w:rFonts w:hint="eastAsia" w:ascii="Times New Roman" w:hAnsi="Times New Roman"/>
          <w:lang w:val="zh-CN"/>
        </w:rPr>
        <w:t>。</w:t>
      </w:r>
    </w:p>
    <w:p w14:paraId="58D4E556">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检验中发现分层，怀疑有氢鼓包或氢致开裂的，建议采用超声波进行扫查，必要时可辅以相控阵检测验证</w:t>
      </w:r>
      <w:r>
        <w:rPr>
          <w:rFonts w:hint="eastAsia" w:ascii="Times New Roman" w:hAnsi="Times New Roman"/>
          <w:lang w:val="zh-CN"/>
        </w:rPr>
        <w:t>。</w:t>
      </w:r>
    </w:p>
    <w:p w14:paraId="49681247">
      <w:pPr>
        <w:widowControl w:val="0"/>
        <w:numPr>
          <w:ilvl w:val="1"/>
          <w:numId w:val="13"/>
        </w:numPr>
        <w:spacing w:line="240" w:lineRule="auto"/>
        <w:ind w:left="0" w:firstLine="426"/>
        <w:rPr>
          <w:rFonts w:ascii="Times New Roman" w:hAnsi="Times New Roman"/>
          <w:lang w:val="zh-CN"/>
        </w:rPr>
      </w:pPr>
      <w:r>
        <w:rPr>
          <w:rFonts w:ascii="Times New Roman" w:hAnsi="Times New Roman"/>
          <w:lang w:val="zh-CN"/>
        </w:rPr>
        <w:t>对存在材料性能退化可能性的设备应进行必要的金相和硬度检测或</w:t>
      </w:r>
      <w:r>
        <w:rPr>
          <w:rFonts w:hint="eastAsia" w:ascii="Times New Roman" w:hAnsi="Times New Roman"/>
          <w:lang w:val="zh-CN"/>
        </w:rPr>
        <w:t>其他</w:t>
      </w:r>
      <w:r>
        <w:rPr>
          <w:rFonts w:ascii="Times New Roman" w:hAnsi="Times New Roman"/>
          <w:lang w:val="zh-CN"/>
        </w:rPr>
        <w:t>材质</w:t>
      </w:r>
      <w:r>
        <w:rPr>
          <w:rFonts w:hint="eastAsia" w:ascii="Times New Roman" w:hAnsi="Times New Roman"/>
          <w:lang w:val="zh-CN"/>
        </w:rPr>
        <w:t>分析。</w:t>
      </w:r>
    </w:p>
    <w:p w14:paraId="6C4BE4E4">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对存在外部腐蚀可能性的设备（尤其是设备接管），重点</w:t>
      </w:r>
      <w:r>
        <w:rPr>
          <w:rFonts w:hint="eastAsia" w:ascii="Times New Roman" w:hAnsi="Times New Roman"/>
          <w:lang w:val="zh-CN"/>
        </w:rPr>
        <w:t>拆除保温层对保温层异常部位（破损、脱落、潮湿、跑冷）</w:t>
      </w:r>
      <w:r>
        <w:rPr>
          <w:rFonts w:ascii="Times New Roman" w:hAnsi="Times New Roman"/>
          <w:lang w:val="zh-CN"/>
        </w:rPr>
        <w:t>进行检查，检查方式以宏观检查、超声测厚为主，当有怀疑时（尤其</w:t>
      </w:r>
      <w:r>
        <w:rPr>
          <w:rFonts w:hint="eastAsia" w:ascii="Times New Roman" w:hAnsi="Times New Roman"/>
          <w:lang w:val="zh-CN"/>
        </w:rPr>
        <w:t>是</w:t>
      </w:r>
      <w:r>
        <w:rPr>
          <w:rFonts w:ascii="Times New Roman" w:hAnsi="Times New Roman"/>
          <w:lang w:val="zh-CN"/>
        </w:rPr>
        <w:t>保温损坏的不锈钢设备）应进行表面裂纹检测</w:t>
      </w:r>
      <w:r>
        <w:rPr>
          <w:rFonts w:hint="eastAsia" w:ascii="Times New Roman" w:hAnsi="Times New Roman"/>
          <w:lang w:val="zh-CN"/>
        </w:rPr>
        <w:t>。</w:t>
      </w:r>
    </w:p>
    <w:p w14:paraId="3F1464E6">
      <w:pPr>
        <w:widowControl w:val="0"/>
        <w:numPr>
          <w:ilvl w:val="1"/>
          <w:numId w:val="13"/>
        </w:numPr>
        <w:spacing w:line="240" w:lineRule="auto"/>
        <w:ind w:hanging="414"/>
        <w:jc w:val="both"/>
        <w:rPr>
          <w:rFonts w:ascii="Times New Roman" w:hAnsi="Times New Roman"/>
          <w:lang w:val="zh-CN"/>
        </w:rPr>
      </w:pPr>
      <w:r>
        <w:rPr>
          <w:rFonts w:ascii="Times New Roman" w:hAnsi="Times New Roman"/>
          <w:lang w:val="zh-CN"/>
        </w:rPr>
        <w:t>换热器管束检验方法以试压</w:t>
      </w:r>
      <w:r>
        <w:rPr>
          <w:rFonts w:hint="eastAsia" w:ascii="Times New Roman" w:hAnsi="Times New Roman"/>
          <w:lang w:val="zh-CN"/>
        </w:rPr>
        <w:t>（</w:t>
      </w:r>
      <w:r>
        <w:rPr>
          <w:rFonts w:ascii="Times New Roman" w:hAnsi="Times New Roman"/>
          <w:lang w:val="zh-CN"/>
        </w:rPr>
        <w:t>检漏</w:t>
      </w:r>
      <w:r>
        <w:rPr>
          <w:rFonts w:hint="eastAsia" w:ascii="Times New Roman" w:hAnsi="Times New Roman"/>
          <w:lang w:val="zh-CN"/>
        </w:rPr>
        <w:t>）</w:t>
      </w:r>
      <w:r>
        <w:rPr>
          <w:rFonts w:ascii="Times New Roman" w:hAnsi="Times New Roman"/>
          <w:lang w:val="zh-CN"/>
        </w:rPr>
        <w:t>为主；</w:t>
      </w:r>
    </w:p>
    <w:p w14:paraId="28D8C1B5">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在具备条件的前提下，可采用远场涡流检测方法对空冷器、换热器的管束壁厚减薄情况进行检测；</w:t>
      </w:r>
    </w:p>
    <w:p w14:paraId="674EE829">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对于剩余壁厚报警的设备部件应进行在线壁厚监测，当剩余壁厚小于允许壁厚但又不能及时更换的设备应进行安全分析；</w:t>
      </w:r>
    </w:p>
    <w:p w14:paraId="2EA2E39B">
      <w:pPr>
        <w:widowControl w:val="0"/>
        <w:numPr>
          <w:ilvl w:val="1"/>
          <w:numId w:val="13"/>
        </w:numPr>
        <w:spacing w:line="240" w:lineRule="auto"/>
        <w:ind w:left="0" w:firstLine="426"/>
        <w:jc w:val="both"/>
        <w:rPr>
          <w:rFonts w:ascii="Times New Roman" w:hAnsi="Times New Roman"/>
          <w:lang w:val="zh-CN"/>
        </w:rPr>
      </w:pPr>
      <w:r>
        <w:rPr>
          <w:rFonts w:ascii="Times New Roman" w:hAnsi="Times New Roman"/>
          <w:lang w:val="zh-CN"/>
        </w:rPr>
        <w:t>首检设备应采用超声</w:t>
      </w:r>
      <w:r>
        <w:rPr>
          <w:rFonts w:hint="eastAsia" w:ascii="Times New Roman" w:hAnsi="Times New Roman"/>
          <w:lang w:val="zh-CN"/>
        </w:rPr>
        <w:t>（</w:t>
      </w:r>
      <w:r>
        <w:rPr>
          <w:rFonts w:ascii="Times New Roman" w:hAnsi="Times New Roman"/>
          <w:lang w:val="zh-CN"/>
        </w:rPr>
        <w:t>或射线</w:t>
      </w:r>
      <w:r>
        <w:rPr>
          <w:rFonts w:hint="eastAsia" w:ascii="Times New Roman" w:hAnsi="Times New Roman"/>
          <w:lang w:val="zh-CN"/>
        </w:rPr>
        <w:t>）</w:t>
      </w:r>
      <w:r>
        <w:rPr>
          <w:rFonts w:ascii="Times New Roman" w:hAnsi="Times New Roman"/>
          <w:lang w:val="zh-CN"/>
        </w:rPr>
        <w:t>检测方法进行埋藏缺陷检测。</w:t>
      </w:r>
    </w:p>
    <w:p w14:paraId="2075BD09">
      <w:pPr>
        <w:pStyle w:val="3"/>
        <w:tabs>
          <w:tab w:val="left" w:pos="360"/>
          <w:tab w:val="clear" w:pos="480"/>
        </w:tabs>
        <w:spacing w:before="115" w:beforeLines="25" w:after="115" w:afterLines="25"/>
        <w:rPr>
          <w:rFonts w:ascii="Times New Roman" w:hAnsi="Times New Roman"/>
          <w:bCs w:val="0"/>
          <w:sz w:val="24"/>
          <w:szCs w:val="24"/>
        </w:rPr>
      </w:pPr>
      <w:bookmarkStart w:id="133" w:name="_Toc433535283"/>
      <w:bookmarkStart w:id="134" w:name="_Toc432493175"/>
      <w:bookmarkStart w:id="135" w:name="_Toc432493019"/>
      <w:bookmarkStart w:id="136" w:name="_Toc10175"/>
      <w:bookmarkStart w:id="137" w:name="_Toc480551531"/>
      <w:bookmarkStart w:id="138" w:name="_Toc435821676"/>
      <w:bookmarkStart w:id="139" w:name="_Toc436802797"/>
      <w:bookmarkStart w:id="140" w:name="_Toc480551601"/>
      <w:r>
        <w:rPr>
          <w:rFonts w:hint="eastAsia" w:ascii="Times New Roman" w:hAnsi="Times New Roman"/>
          <w:bCs w:val="0"/>
          <w:sz w:val="24"/>
          <w:szCs w:val="24"/>
        </w:rPr>
        <w:t>8</w:t>
      </w:r>
      <w:r>
        <w:rPr>
          <w:rFonts w:ascii="Times New Roman" w:hAnsi="Times New Roman"/>
          <w:bCs w:val="0"/>
          <w:sz w:val="24"/>
          <w:szCs w:val="24"/>
        </w:rPr>
        <w:t>.3</w:t>
      </w:r>
      <w:r>
        <w:rPr>
          <w:rFonts w:hint="eastAsia" w:ascii="Times New Roman" w:hAnsi="Times New Roman"/>
          <w:bCs w:val="0"/>
          <w:sz w:val="24"/>
          <w:szCs w:val="24"/>
        </w:rPr>
        <w:t xml:space="preserve"> </w:t>
      </w:r>
      <w:r>
        <w:rPr>
          <w:rFonts w:ascii="Times New Roman" w:hAnsi="Times New Roman"/>
          <w:bCs w:val="0"/>
          <w:sz w:val="24"/>
          <w:szCs w:val="24"/>
        </w:rPr>
        <w:t>管道检验策略</w:t>
      </w:r>
      <w:bookmarkEnd w:id="133"/>
      <w:bookmarkEnd w:id="134"/>
      <w:bookmarkEnd w:id="135"/>
      <w:bookmarkEnd w:id="136"/>
      <w:bookmarkEnd w:id="137"/>
      <w:bookmarkEnd w:id="138"/>
      <w:bookmarkEnd w:id="139"/>
      <w:bookmarkEnd w:id="140"/>
    </w:p>
    <w:p w14:paraId="325DD44F">
      <w:pPr>
        <w:widowControl w:val="0"/>
        <w:numPr>
          <w:ilvl w:val="0"/>
          <w:numId w:val="12"/>
        </w:numPr>
        <w:spacing w:line="240" w:lineRule="auto"/>
        <w:ind w:left="0" w:firstLine="424" w:firstLineChars="177"/>
        <w:jc w:val="both"/>
        <w:rPr>
          <w:rFonts w:ascii="Times New Roman" w:hAnsi="Times New Roman"/>
          <w:lang w:val="zh-CN"/>
        </w:rPr>
      </w:pPr>
      <w:r>
        <w:rPr>
          <w:rFonts w:ascii="Times New Roman" w:hAnsi="Times New Roman"/>
          <w:lang w:val="zh-CN"/>
        </w:rPr>
        <w:t>重点对存在环境开裂失效模式且敏感性较高的管道进行超声</w:t>
      </w:r>
      <w:r>
        <w:rPr>
          <w:rFonts w:hint="eastAsia" w:ascii="Times New Roman" w:hAnsi="Times New Roman"/>
          <w:lang w:val="zh-CN"/>
        </w:rPr>
        <w:t>（</w:t>
      </w:r>
      <w:r>
        <w:rPr>
          <w:rFonts w:ascii="Times New Roman" w:hAnsi="Times New Roman"/>
          <w:lang w:val="zh-CN"/>
        </w:rPr>
        <w:t>或射线</w:t>
      </w:r>
      <w:r>
        <w:rPr>
          <w:rFonts w:hint="eastAsia" w:ascii="Times New Roman" w:hAnsi="Times New Roman"/>
          <w:lang w:val="zh-CN"/>
        </w:rPr>
        <w:t>）</w:t>
      </w:r>
      <w:r>
        <w:rPr>
          <w:rFonts w:ascii="Times New Roman" w:hAnsi="Times New Roman"/>
          <w:lang w:val="zh-CN"/>
        </w:rPr>
        <w:t>检测；</w:t>
      </w:r>
    </w:p>
    <w:p w14:paraId="23817C5F">
      <w:pPr>
        <w:widowControl w:val="0"/>
        <w:numPr>
          <w:ilvl w:val="0"/>
          <w:numId w:val="12"/>
        </w:numPr>
        <w:spacing w:line="240" w:lineRule="auto"/>
        <w:ind w:left="0" w:firstLine="424" w:firstLineChars="177"/>
        <w:jc w:val="both"/>
        <w:rPr>
          <w:rFonts w:ascii="Times New Roman" w:hAnsi="Times New Roman"/>
          <w:lang w:val="zh-CN"/>
        </w:rPr>
      </w:pPr>
      <w:r>
        <w:rPr>
          <w:rFonts w:ascii="Times New Roman" w:hAnsi="Times New Roman"/>
          <w:lang w:val="zh-CN"/>
        </w:rPr>
        <w:t>对仅存在腐蚀减薄可能性的管道以宏观检查和超声测厚为主，测厚比例根据减薄损伤因子的大小以及腐蚀速率的大小进行确定；</w:t>
      </w:r>
    </w:p>
    <w:p w14:paraId="6D9E384E">
      <w:pPr>
        <w:widowControl w:val="0"/>
        <w:numPr>
          <w:ilvl w:val="0"/>
          <w:numId w:val="12"/>
        </w:numPr>
        <w:spacing w:line="240" w:lineRule="auto"/>
        <w:ind w:left="0" w:firstLine="424" w:firstLineChars="177"/>
        <w:jc w:val="both"/>
        <w:rPr>
          <w:rFonts w:ascii="Times New Roman" w:hAnsi="Times New Roman"/>
          <w:lang w:val="zh-CN"/>
        </w:rPr>
      </w:pPr>
      <w:r>
        <w:rPr>
          <w:rFonts w:ascii="Times New Roman" w:hAnsi="Times New Roman"/>
          <w:lang w:val="zh-CN"/>
        </w:rPr>
        <w:t>重点部位主要有：补偿器、三通、弯头</w:t>
      </w:r>
      <w:r>
        <w:rPr>
          <w:rFonts w:hint="eastAsia" w:ascii="Times New Roman" w:hAnsi="Times New Roman"/>
          <w:lang w:val="zh-CN"/>
        </w:rPr>
        <w:t>（</w:t>
      </w:r>
      <w:r>
        <w:rPr>
          <w:rFonts w:ascii="Times New Roman" w:hAnsi="Times New Roman"/>
          <w:lang w:val="zh-CN"/>
        </w:rPr>
        <w:t>弯管</w:t>
      </w:r>
      <w:r>
        <w:rPr>
          <w:rFonts w:hint="eastAsia" w:ascii="Times New Roman" w:hAnsi="Times New Roman"/>
          <w:lang w:val="zh-CN"/>
        </w:rPr>
        <w:t>）</w:t>
      </w:r>
      <w:r>
        <w:rPr>
          <w:rFonts w:ascii="Times New Roman" w:hAnsi="Times New Roman"/>
          <w:lang w:val="zh-CN"/>
        </w:rPr>
        <w:t>、大小头、支管连接、介质流动的死角、注入点附近区域及注入点之后易冲刷部位等；</w:t>
      </w:r>
    </w:p>
    <w:p w14:paraId="4060BAAB">
      <w:pPr>
        <w:widowControl w:val="0"/>
        <w:numPr>
          <w:ilvl w:val="0"/>
          <w:numId w:val="12"/>
        </w:numPr>
        <w:spacing w:line="240" w:lineRule="auto"/>
        <w:ind w:left="0" w:firstLine="424" w:firstLineChars="177"/>
        <w:jc w:val="both"/>
        <w:rPr>
          <w:rFonts w:ascii="Times New Roman" w:hAnsi="Times New Roman"/>
          <w:lang w:val="zh-CN"/>
        </w:rPr>
      </w:pPr>
      <w:r>
        <w:rPr>
          <w:rFonts w:ascii="Times New Roman" w:hAnsi="Times New Roman"/>
          <w:lang w:val="zh-CN"/>
        </w:rPr>
        <w:t>对于剩余壁厚报警的管道应进行在线壁厚监测，当剩余壁厚小于允许壁厚但又不能及时更换的管道应进行安全分析；</w:t>
      </w:r>
    </w:p>
    <w:p w14:paraId="743A0425">
      <w:pPr>
        <w:widowControl w:val="0"/>
        <w:numPr>
          <w:ilvl w:val="0"/>
          <w:numId w:val="12"/>
        </w:numPr>
        <w:spacing w:line="240" w:lineRule="auto"/>
        <w:ind w:left="0" w:firstLine="424" w:firstLineChars="177"/>
        <w:jc w:val="both"/>
        <w:rPr>
          <w:rFonts w:ascii="Times New Roman" w:hAnsi="Times New Roman"/>
          <w:lang w:val="zh-CN"/>
        </w:rPr>
      </w:pPr>
      <w:r>
        <w:rPr>
          <w:rFonts w:ascii="Times New Roman" w:hAnsi="Times New Roman"/>
          <w:lang w:val="zh-CN"/>
        </w:rPr>
        <w:t>对存在外部腐蚀可能性的管道，重点对保温层异常部位（破损、脱落、潮湿、跑冷）拆除保温层进行检查，当有怀疑时（尤其</w:t>
      </w:r>
      <w:r>
        <w:rPr>
          <w:rFonts w:hint="eastAsia" w:ascii="Times New Roman" w:hAnsi="Times New Roman"/>
          <w:lang w:val="zh-CN"/>
        </w:rPr>
        <w:t>是</w:t>
      </w:r>
      <w:r>
        <w:rPr>
          <w:rFonts w:ascii="Times New Roman" w:hAnsi="Times New Roman"/>
          <w:lang w:val="zh-CN"/>
        </w:rPr>
        <w:t>保温损坏的不锈钢管道 ）应进行表面裂纹检测；</w:t>
      </w:r>
    </w:p>
    <w:p w14:paraId="428B2660">
      <w:pPr>
        <w:widowControl w:val="0"/>
        <w:numPr>
          <w:ilvl w:val="0"/>
          <w:numId w:val="12"/>
        </w:numPr>
        <w:spacing w:line="240" w:lineRule="auto"/>
        <w:ind w:left="0" w:firstLine="424" w:firstLineChars="177"/>
        <w:jc w:val="both"/>
        <w:rPr>
          <w:rFonts w:ascii="Times New Roman" w:hAnsi="Times New Roman"/>
          <w:lang w:val="zh-CN"/>
        </w:rPr>
      </w:pPr>
      <w:r>
        <w:rPr>
          <w:rFonts w:ascii="Times New Roman" w:hAnsi="Times New Roman"/>
          <w:lang w:val="zh-CN"/>
        </w:rPr>
        <w:t>失效后果较严重的首检管道应采用超声</w:t>
      </w:r>
      <w:r>
        <w:rPr>
          <w:rFonts w:hint="eastAsia" w:ascii="Times New Roman" w:hAnsi="Times New Roman"/>
          <w:lang w:val="zh-CN"/>
        </w:rPr>
        <w:t>（</w:t>
      </w:r>
      <w:r>
        <w:rPr>
          <w:rFonts w:ascii="Times New Roman" w:hAnsi="Times New Roman"/>
          <w:lang w:val="zh-CN"/>
        </w:rPr>
        <w:t>或射线</w:t>
      </w:r>
      <w:r>
        <w:rPr>
          <w:rFonts w:hint="eastAsia" w:ascii="Times New Roman" w:hAnsi="Times New Roman"/>
          <w:lang w:val="zh-CN"/>
        </w:rPr>
        <w:t>）</w:t>
      </w:r>
      <w:r>
        <w:rPr>
          <w:rFonts w:ascii="Times New Roman" w:hAnsi="Times New Roman"/>
          <w:lang w:val="zh-CN"/>
        </w:rPr>
        <w:t>检测方法进行埋藏缺陷检测。</w:t>
      </w:r>
    </w:p>
    <w:p w14:paraId="37BD8122">
      <w:pPr>
        <w:widowControl w:val="0"/>
        <w:spacing w:line="240" w:lineRule="auto"/>
        <w:ind w:firstLine="480" w:firstLineChars="200"/>
        <w:jc w:val="both"/>
        <w:rPr>
          <w:rFonts w:ascii="Times New Roman" w:hAnsi="Times New Roman"/>
          <w:lang w:val="zh-CN"/>
        </w:rPr>
      </w:pPr>
      <w:r>
        <w:rPr>
          <w:rFonts w:ascii="Times New Roman" w:hAnsi="Times New Roman"/>
          <w:lang w:val="zh-CN"/>
        </w:rPr>
        <w:t>详见附录4。</w:t>
      </w:r>
    </w:p>
    <w:p w14:paraId="48441115">
      <w:pPr>
        <w:widowControl w:val="0"/>
        <w:autoSpaceDE w:val="0"/>
        <w:autoSpaceDN w:val="0"/>
        <w:spacing w:line="360" w:lineRule="auto"/>
        <w:jc w:val="center"/>
        <w:rPr>
          <w:rFonts w:ascii="Times New Roman" w:hAnsi="Times New Roman"/>
        </w:rPr>
      </w:pPr>
      <w:r>
        <w:rPr>
          <w:rFonts w:ascii="Times New Roman" w:hAnsi="Times New Roman"/>
          <w:lang/>
        </w:rPr>
        <w:pict>
          <v:shape id="_x0000_i1035" o:spt="75" type="#_x0000_t75" style="height:151.95pt;width:306.15pt;" filled="f" o:preferrelative="t" stroked="f" coordsize="21600,21600">
            <v:path/>
            <v:fill on="f" focussize="0,0"/>
            <v:stroke on="f"/>
            <v:imagedata r:id="rId21" o:title=""/>
            <o:lock v:ext="edit" grouping="f" rotation="f" text="f" aspectratio="t"/>
            <w10:wrap type="none"/>
            <w10:anchorlock/>
          </v:shape>
        </w:pict>
      </w:r>
    </w:p>
    <w:p w14:paraId="2893904D">
      <w:pPr>
        <w:widowControl w:val="0"/>
        <w:spacing w:line="240" w:lineRule="auto"/>
        <w:ind w:firstLine="480" w:firstLineChars="200"/>
        <w:jc w:val="center"/>
        <w:rPr>
          <w:rFonts w:ascii="Times New Roman" w:hAnsi="Times New Roman"/>
        </w:rPr>
      </w:pPr>
      <w:r>
        <w:rPr>
          <w:rFonts w:ascii="Times New Roman" w:hAnsi="Times New Roman"/>
          <w:bCs/>
          <w:color w:val="000000"/>
        </w:rPr>
        <w:t>图</w:t>
      </w:r>
      <w:r>
        <w:rPr>
          <w:rFonts w:hint="eastAsia" w:ascii="Times New Roman" w:hAnsi="Times New Roman"/>
          <w:bCs/>
          <w:color w:val="000000"/>
        </w:rPr>
        <w:t>8</w:t>
      </w:r>
      <w:r>
        <w:rPr>
          <w:rFonts w:ascii="Times New Roman" w:hAnsi="Times New Roman"/>
          <w:bCs/>
          <w:color w:val="000000"/>
        </w:rPr>
        <w:t>-1不可</w:t>
      </w:r>
      <w:r>
        <w:rPr>
          <w:rFonts w:hint="eastAsia" w:ascii="Times New Roman" w:hAnsi="Times New Roman"/>
          <w:bCs/>
          <w:color w:val="000000"/>
        </w:rPr>
        <w:t>检</w:t>
      </w:r>
      <w:r>
        <w:rPr>
          <w:rFonts w:ascii="Times New Roman" w:hAnsi="Times New Roman"/>
          <w:bCs/>
          <w:color w:val="000000"/>
        </w:rPr>
        <w:t>测出的风险</w:t>
      </w:r>
      <w:bookmarkStart w:id="141" w:name="_Toc326586003"/>
      <w:bookmarkStart w:id="142" w:name="_Toc326808365"/>
      <w:bookmarkStart w:id="143" w:name="_Toc327251578"/>
      <w:bookmarkStart w:id="144" w:name="_Toc326850012"/>
      <w:bookmarkStart w:id="145" w:name="_Toc325294291"/>
      <w:bookmarkStart w:id="146" w:name="_Toc103337519"/>
    </w:p>
    <w:p w14:paraId="6CC5A704">
      <w:pPr>
        <w:pStyle w:val="2"/>
        <w:numPr>
          <w:ilvl w:val="0"/>
          <w:numId w:val="3"/>
        </w:numPr>
        <w:spacing w:before="230" w:after="230"/>
      </w:pPr>
      <w:bookmarkStart w:id="147" w:name="_Toc480551532"/>
      <w:bookmarkStart w:id="148" w:name="_Toc17712"/>
      <w:r>
        <w:t>结束语</w:t>
      </w:r>
      <w:bookmarkEnd w:id="141"/>
      <w:bookmarkEnd w:id="142"/>
      <w:bookmarkEnd w:id="143"/>
      <w:bookmarkEnd w:id="144"/>
      <w:bookmarkEnd w:id="145"/>
      <w:bookmarkEnd w:id="147"/>
      <w:bookmarkEnd w:id="148"/>
    </w:p>
    <w:p w14:paraId="7EEEB57F">
      <w:pPr>
        <w:spacing w:line="240" w:lineRule="auto"/>
        <w:ind w:firstLine="420"/>
        <w:jc w:val="both"/>
        <w:rPr>
          <w:rFonts w:hint="eastAsia" w:ascii="Times New Roman" w:hAnsi="Times New Roman"/>
        </w:rPr>
      </w:pPr>
      <w:r>
        <w:rPr>
          <w:rFonts w:hint="eastAsia" w:ascii="Times New Roman" w:hAnsi="Times New Roman"/>
        </w:rPr>
        <w:t>本次风险评估项目是在</w:t>
      </w:r>
      <w:r>
        <w:rPr>
          <w:rFonts w:hint="eastAsia" w:ascii="Times New Roman" w:hAnsi="Times New Roman"/>
          <w:lang w:val="en-US" w:eastAsia="zh-CN"/>
        </w:rPr>
        <w:t>荆门</w:t>
      </w:r>
      <w:r>
        <w:rPr>
          <w:rFonts w:hint="eastAsia" w:ascii="Times New Roman" w:hAnsi="Times New Roman"/>
        </w:rPr>
        <w:t>石化领导、公司</w:t>
      </w:r>
      <w:r>
        <w:rPr>
          <w:rFonts w:hint="eastAsia" w:ascii="Times New Roman" w:hAnsi="Times New Roman"/>
          <w:lang w:val="en-US" w:eastAsia="zh-CN"/>
        </w:rPr>
        <w:t>设备工程</w:t>
      </w:r>
      <w:r>
        <w:rPr>
          <w:rFonts w:hint="eastAsia" w:ascii="Times New Roman" w:hAnsi="Times New Roman"/>
        </w:rPr>
        <w:t>部的大力支持与帮助下，在</w:t>
      </w:r>
      <w:r>
        <w:rPr>
          <w:rFonts w:hint="eastAsia" w:ascii="Times New Roman" w:hAnsi="Times New Roman"/>
          <w:lang w:val="en-US" w:eastAsia="zh-CN"/>
        </w:rPr>
        <w:t>装置</w:t>
      </w:r>
      <w:r>
        <w:rPr>
          <w:rFonts w:hint="eastAsia" w:ascii="Times New Roman" w:hAnsi="Times New Roman"/>
        </w:rPr>
        <w:t>领导及相关工作人员的大力合作下，得以顺利完成，在此对</w:t>
      </w:r>
      <w:r>
        <w:rPr>
          <w:rFonts w:hint="eastAsia" w:ascii="Times New Roman" w:hAnsi="Times New Roman"/>
          <w:lang w:val="en-US" w:eastAsia="zh-CN"/>
        </w:rPr>
        <w:t>荆门</w:t>
      </w:r>
      <w:r>
        <w:rPr>
          <w:rFonts w:hint="eastAsia" w:ascii="Times New Roman" w:hAnsi="Times New Roman"/>
        </w:rPr>
        <w:t>石化的领导及各成员表示衷心感谢！通过本次风险评估项目，我们希望厂方对此工作能持续关注，同时提出如下建议：</w:t>
      </w:r>
    </w:p>
    <w:p w14:paraId="71E30F64">
      <w:pPr>
        <w:spacing w:line="240" w:lineRule="auto"/>
        <w:ind w:firstLine="420"/>
        <w:jc w:val="both"/>
        <w:rPr>
          <w:rFonts w:hint="eastAsia" w:ascii="Times New Roman" w:hAnsi="Times New Roman"/>
        </w:rPr>
      </w:pPr>
      <w:r>
        <w:rPr>
          <w:rFonts w:hint="eastAsia" w:ascii="Times New Roman" w:hAnsi="Times New Roman"/>
        </w:rPr>
        <w:tab/>
      </w:r>
      <w:r>
        <w:rPr>
          <w:rFonts w:hint="eastAsia" w:ascii="Times New Roman" w:hAnsi="Times New Roman"/>
        </w:rPr>
        <w:t>1. RBI技术与节省检修费用两者的关系并不是充分必要的，优化检验策略、节约检修资源、节省检验费用只是RBI技术的一部分，RBI技术的目的是保障设备的安全、提高企业的管理水平、提高技术人员的技术水平、优化检验策略等。因此，希望通过本次RBI项目，能切实提高本企业的风险管理水平。</w:t>
      </w:r>
    </w:p>
    <w:p w14:paraId="169047A4">
      <w:pPr>
        <w:spacing w:line="240" w:lineRule="auto"/>
        <w:ind w:firstLine="420"/>
        <w:jc w:val="both"/>
        <w:rPr>
          <w:rFonts w:hint="eastAsia" w:ascii="Times New Roman" w:hAnsi="Times New Roman"/>
        </w:rPr>
      </w:pPr>
      <w:r>
        <w:rPr>
          <w:rFonts w:hint="eastAsia" w:ascii="Times New Roman" w:hAnsi="Times New Roman"/>
        </w:rPr>
        <w:t>2.</w:t>
      </w:r>
      <w:r>
        <w:rPr>
          <w:rFonts w:hint="eastAsia" w:ascii="Times New Roman" w:hAnsi="Times New Roman"/>
        </w:rPr>
        <w:tab/>
      </w:r>
      <w:r>
        <w:rPr>
          <w:rFonts w:hint="eastAsia" w:ascii="Times New Roman" w:hAnsi="Times New Roman"/>
        </w:rPr>
        <w:t>RBI评估和再评估结果的持续更新。RBI是一个动态的技术，可以对目前和未来的风险进行评估。评估是基于当前的数据和认识，随着时间的推移风险会发生变化。RBI评估应该用最新的检测数据、工艺数据与维护数据来进行持续的更新。对装置风险管理的精细化、完整化具有重要意义。</w:t>
      </w:r>
    </w:p>
    <w:p w14:paraId="7BBC1152">
      <w:pPr>
        <w:spacing w:line="240" w:lineRule="auto"/>
        <w:ind w:firstLine="420"/>
        <w:jc w:val="both"/>
        <w:rPr>
          <w:rFonts w:ascii="Times New Roman" w:hAnsi="Times New Roman"/>
        </w:rPr>
      </w:pPr>
      <w:r>
        <w:rPr>
          <w:rFonts w:hint="eastAsia" w:ascii="Times New Roman" w:hAnsi="Times New Roman"/>
        </w:rPr>
        <w:t>3.基于风险的检验是风险管理的一部分，企业应尽量将RBI、RCM（以可靠性为中心的维护）与SIL（安全连锁系统定量安全评估）协同发展，建立横向完整的风险管理体系</w:t>
      </w:r>
      <w:r>
        <w:rPr>
          <w:rFonts w:ascii="Times New Roman" w:hAnsi="Times New Roman"/>
        </w:rPr>
        <w:t>。</w:t>
      </w:r>
    </w:p>
    <w:p w14:paraId="0F19D089">
      <w:pPr>
        <w:spacing w:line="240" w:lineRule="auto"/>
        <w:rPr>
          <w:rFonts w:ascii="Times New Roman" w:hAnsi="Times New Roman"/>
          <w:b/>
        </w:rPr>
      </w:pPr>
      <w:r>
        <w:rPr>
          <w:rFonts w:ascii="Times New Roman" w:hAnsi="Times New Roman"/>
          <w:b/>
        </w:rPr>
        <w:t>备注：</w:t>
      </w:r>
    </w:p>
    <w:p w14:paraId="779B19EF">
      <w:pPr>
        <w:numPr>
          <w:ilvl w:val="0"/>
          <w:numId w:val="14"/>
        </w:numPr>
        <w:spacing w:line="240" w:lineRule="auto"/>
        <w:jc w:val="both"/>
        <w:rPr>
          <w:rFonts w:ascii="Times New Roman" w:hAnsi="Times New Roman"/>
        </w:rPr>
      </w:pPr>
      <w:r>
        <w:rPr>
          <w:rFonts w:ascii="Times New Roman" w:hAnsi="Times New Roman"/>
        </w:rPr>
        <w:t>本次风险评估的范围主要为</w:t>
      </w:r>
      <w:r>
        <w:rPr>
          <w:rFonts w:hint="eastAsia" w:ascii="Times New Roman" w:hAnsi="Times New Roman"/>
        </w:rPr>
        <w:t>客户指定的</w:t>
      </w:r>
      <w:r>
        <w:rPr>
          <w:rFonts w:ascii="Times New Roman" w:hAnsi="Times New Roman"/>
        </w:rPr>
        <w:t>压力容器、压力管道，不包括</w:t>
      </w:r>
      <w:r>
        <w:rPr>
          <w:rFonts w:hint="eastAsia" w:ascii="Times New Roman" w:hAnsi="Times New Roman"/>
        </w:rPr>
        <w:t>范围内其他设备</w:t>
      </w:r>
      <w:r>
        <w:rPr>
          <w:rFonts w:ascii="Times New Roman" w:hAnsi="Times New Roman"/>
        </w:rPr>
        <w:t>。</w:t>
      </w:r>
    </w:p>
    <w:p w14:paraId="193DD800">
      <w:pPr>
        <w:numPr>
          <w:ilvl w:val="0"/>
          <w:numId w:val="14"/>
        </w:numPr>
        <w:spacing w:line="240" w:lineRule="auto"/>
        <w:jc w:val="both"/>
        <w:rPr>
          <w:rFonts w:ascii="Times New Roman" w:hAnsi="Times New Roman"/>
        </w:rPr>
      </w:pPr>
      <w:r>
        <w:rPr>
          <w:rFonts w:ascii="Times New Roman" w:hAnsi="Times New Roman"/>
        </w:rPr>
        <w:t>本次风险评估主要根据装置RBI数据采集阶段的工况进行分析计算，如装置在使用过程中改变操作参数或工艺条件并超过设计条件的，需要重新进行风险评估。</w:t>
      </w:r>
    </w:p>
    <w:p w14:paraId="630BF637">
      <w:pPr>
        <w:numPr>
          <w:ilvl w:val="0"/>
          <w:numId w:val="14"/>
        </w:numPr>
        <w:spacing w:line="240" w:lineRule="auto"/>
        <w:jc w:val="both"/>
        <w:rPr>
          <w:rFonts w:ascii="Times New Roman" w:hAnsi="Times New Roman"/>
        </w:rPr>
      </w:pPr>
      <w:r>
        <w:rPr>
          <w:rFonts w:ascii="Times New Roman" w:hAnsi="Times New Roman"/>
        </w:rPr>
        <w:t>风险评估主要考虑的是装置在运行过程中工艺介质对设备及管道可能产生的风险，不包括装置设计、制造、安装过程中可能存在的风险。</w:t>
      </w:r>
    </w:p>
    <w:p w14:paraId="2F7843DB">
      <w:pPr>
        <w:pStyle w:val="2"/>
        <w:spacing w:before="230" w:beforeLines="0" w:after="230" w:afterLines="0" w:line="240" w:lineRule="auto"/>
        <w:rPr>
          <w:rFonts w:ascii="Times New Roman" w:hAnsi="Times New Roman"/>
          <w:kern w:val="2"/>
        </w:rPr>
      </w:pPr>
      <w:bookmarkStart w:id="149" w:name="_Toc326850013"/>
      <w:bookmarkStart w:id="150" w:name="_Toc326808366"/>
      <w:bookmarkStart w:id="151" w:name="_Toc325294292"/>
      <w:bookmarkStart w:id="152" w:name="_Toc480551533"/>
      <w:bookmarkStart w:id="153" w:name="_Toc327251579"/>
      <w:bookmarkStart w:id="154" w:name="_Toc326586004"/>
      <w:bookmarkStart w:id="155" w:name="_Toc24245"/>
      <w:r>
        <w:rPr>
          <w:rFonts w:ascii="Times New Roman" w:hAnsi="Times New Roman"/>
          <w:kern w:val="2"/>
        </w:rPr>
        <w:t>附录</w:t>
      </w:r>
      <w:bookmarkEnd w:id="118"/>
      <w:bookmarkEnd w:id="146"/>
      <w:bookmarkEnd w:id="149"/>
      <w:bookmarkEnd w:id="150"/>
      <w:bookmarkEnd w:id="151"/>
      <w:bookmarkEnd w:id="152"/>
      <w:bookmarkEnd w:id="153"/>
      <w:bookmarkEnd w:id="154"/>
      <w:bookmarkEnd w:id="155"/>
      <w:bookmarkStart w:id="156" w:name="_Hlt68660536"/>
    </w:p>
    <w:bookmarkEnd w:id="156"/>
    <w:p w14:paraId="1A63F97D">
      <w:pPr>
        <w:pStyle w:val="3"/>
        <w:tabs>
          <w:tab w:val="left" w:pos="840"/>
          <w:tab w:val="clear" w:pos="480"/>
        </w:tabs>
        <w:spacing w:before="115" w:beforeLines="25" w:after="115" w:afterLines="25" w:line="240" w:lineRule="auto"/>
        <w:rPr>
          <w:rFonts w:ascii="Times New Roman" w:hAnsi="Times New Roman"/>
          <w:sz w:val="24"/>
        </w:rPr>
      </w:pPr>
      <w:bookmarkStart w:id="157" w:name="_Toc65318183"/>
      <w:bookmarkStart w:id="158" w:name="_Toc480551536"/>
      <w:bookmarkStart w:id="159" w:name="_Toc65553395"/>
      <w:bookmarkStart w:id="160" w:name="_Toc65514177"/>
      <w:bookmarkStart w:id="161" w:name="_Toc65513839"/>
      <w:bookmarkStart w:id="162" w:name="_Toc65513837"/>
      <w:bookmarkStart w:id="163" w:name="_Toc65513958"/>
      <w:bookmarkStart w:id="164" w:name="_Toc65553397"/>
      <w:bookmarkStart w:id="165" w:name="_Toc65514179"/>
      <w:bookmarkStart w:id="166" w:name="_Toc65513960"/>
      <w:bookmarkStart w:id="167" w:name="_Hlt68148956"/>
      <w:bookmarkStart w:id="168" w:name="_Toc5325"/>
      <w:r>
        <w:rPr>
          <w:rFonts w:ascii="Times New Roman" w:hAnsi="Times New Roman"/>
          <w:sz w:val="24"/>
        </w:rPr>
        <w:t xml:space="preserve">附录1. </w:t>
      </w:r>
      <w:bookmarkEnd w:id="157"/>
      <w:bookmarkEnd w:id="158"/>
      <w:bookmarkEnd w:id="159"/>
      <w:bookmarkEnd w:id="160"/>
      <w:bookmarkEnd w:id="161"/>
      <w:bookmarkEnd w:id="162"/>
      <w:bookmarkEnd w:id="163"/>
      <w:bookmarkEnd w:id="164"/>
      <w:bookmarkEnd w:id="165"/>
      <w:bookmarkEnd w:id="166"/>
      <w:bookmarkEnd w:id="167"/>
      <w:r>
        <w:rPr>
          <w:rFonts w:ascii="Times New Roman" w:hAnsi="Times New Roman"/>
          <w:sz w:val="24"/>
        </w:rPr>
        <w:t>设备基础数据表</w:t>
      </w:r>
      <w:bookmarkEnd w:id="168"/>
    </w:p>
    <w:p w14:paraId="11D5321B">
      <w:pPr>
        <w:pStyle w:val="3"/>
        <w:tabs>
          <w:tab w:val="left" w:pos="840"/>
          <w:tab w:val="clear" w:pos="480"/>
        </w:tabs>
        <w:spacing w:before="115" w:beforeLines="25" w:after="115" w:afterLines="25" w:line="240" w:lineRule="auto"/>
        <w:rPr>
          <w:rFonts w:ascii="Times New Roman" w:hAnsi="Times New Roman"/>
          <w:sz w:val="24"/>
        </w:rPr>
      </w:pPr>
      <w:bookmarkStart w:id="169" w:name="_Toc8703"/>
      <w:r>
        <w:rPr>
          <w:rFonts w:ascii="Times New Roman" w:hAnsi="Times New Roman"/>
          <w:sz w:val="24"/>
        </w:rPr>
        <w:t xml:space="preserve">附录2. </w:t>
      </w:r>
      <w:r>
        <w:rPr>
          <w:rFonts w:hint="eastAsia" w:ascii="Times New Roman" w:hAnsi="Times New Roman"/>
          <w:sz w:val="24"/>
        </w:rPr>
        <w:t>设备</w:t>
      </w:r>
      <w:r>
        <w:rPr>
          <w:rFonts w:ascii="Times New Roman" w:hAnsi="Times New Roman"/>
          <w:sz w:val="24"/>
        </w:rPr>
        <w:t>风险等级、损伤机理及检验策略</w:t>
      </w:r>
      <w:bookmarkEnd w:id="169"/>
    </w:p>
    <w:p w14:paraId="1BCB2D41">
      <w:pPr>
        <w:pStyle w:val="3"/>
        <w:tabs>
          <w:tab w:val="left" w:pos="840"/>
          <w:tab w:val="clear" w:pos="480"/>
        </w:tabs>
        <w:spacing w:before="115" w:beforeLines="25" w:after="115" w:afterLines="25" w:line="240" w:lineRule="auto"/>
        <w:rPr>
          <w:rFonts w:ascii="Times New Roman" w:hAnsi="Times New Roman"/>
          <w:sz w:val="24"/>
        </w:rPr>
      </w:pPr>
      <w:bookmarkStart w:id="170" w:name="_Toc1450"/>
      <w:r>
        <w:rPr>
          <w:rFonts w:ascii="Times New Roman" w:hAnsi="Times New Roman"/>
          <w:sz w:val="24"/>
        </w:rPr>
        <w:t>附录3. 管道基础数据表</w:t>
      </w:r>
      <w:bookmarkEnd w:id="170"/>
    </w:p>
    <w:p w14:paraId="4BEA1CDF">
      <w:pPr>
        <w:pStyle w:val="3"/>
        <w:tabs>
          <w:tab w:val="left" w:pos="840"/>
          <w:tab w:val="clear" w:pos="480"/>
        </w:tabs>
        <w:spacing w:before="115" w:beforeLines="25" w:after="115" w:afterLines="25" w:line="240" w:lineRule="auto"/>
        <w:rPr>
          <w:rFonts w:ascii="Times New Roman" w:hAnsi="Times New Roman"/>
          <w:sz w:val="24"/>
        </w:rPr>
      </w:pPr>
      <w:bookmarkStart w:id="171" w:name="_Toc11223"/>
      <w:r>
        <w:rPr>
          <w:rFonts w:ascii="Times New Roman" w:hAnsi="Times New Roman"/>
          <w:sz w:val="24"/>
        </w:rPr>
        <w:t>附录4. 管道风险等级、损伤机理及检验策略</w:t>
      </w:r>
      <w:bookmarkEnd w:id="171"/>
    </w:p>
    <w:sectPr>
      <w:pgSz w:w="11906" w:h="16838"/>
      <w:pgMar w:top="1418" w:right="1418" w:bottom="1418" w:left="1701" w:header="1134" w:footer="1134" w:gutter="0"/>
      <w:cols w:space="720" w:num="1"/>
      <w:docGrid w:type="lines" w:linePitch="4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roman"/>
    <w:pitch w:val="default"/>
    <w:sig w:usb0="F7FFAEFF" w:usb1="F9DFFFFF" w:usb2="0000007F" w:usb3="00000000" w:csb0="203F01FF" w:csb1="DFFF0000"/>
  </w:font>
  <w:font w:name="MS Sans Serif">
    <w:altName w:val="Arial"/>
    <w:panose1 w:val="000000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imes Roman">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71FA2">
    <w:pPr>
      <w:pStyle w:val="19"/>
      <w:framePr w:wrap="around" w:vAnchor="text" w:hAnchor="margin" w:xAlign="center" w:y="1"/>
      <w:rPr>
        <w:rStyle w:val="34"/>
      </w:rPr>
    </w:pPr>
    <w:r>
      <w:fldChar w:fldCharType="begin"/>
    </w:r>
    <w:r>
      <w:rPr>
        <w:rStyle w:val="34"/>
      </w:rPr>
      <w:instrText xml:space="preserve">PAGE  </w:instrText>
    </w:r>
    <w:r>
      <w:fldChar w:fldCharType="separate"/>
    </w:r>
    <w:r>
      <w:rPr>
        <w:rStyle w:val="34"/>
        <w:lang/>
      </w:rPr>
      <w:t>2</w:t>
    </w:r>
    <w:r>
      <w:fldChar w:fldCharType="end"/>
    </w:r>
  </w:p>
  <w:p w14:paraId="45B49C9E">
    <w:pPr>
      <w:pStyle w:val="19"/>
      <w:rPr>
        <w:rFonts w:hint="eastAsia" w:eastAsia="楷体_GB2312"/>
        <w:sz w:val="21"/>
      </w:rPr>
    </w:pPr>
    <w:r>
      <w:rPr>
        <w:rFonts w:hint="eastAsia" w:eastAsia="楷体_GB2312"/>
        <w:sz w:val="21"/>
      </w:rPr>
      <w:t>WEPEC风险评估(RBI)总报告</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D003D">
    <w:pPr>
      <w:pStyle w:val="19"/>
      <w:framePr w:wrap="around" w:vAnchor="text" w:hAnchor="margin" w:xAlign="center" w:y="1"/>
      <w:rPr>
        <w:rStyle w:val="34"/>
      </w:rPr>
    </w:pPr>
    <w:r>
      <w:fldChar w:fldCharType="begin"/>
    </w:r>
    <w:r>
      <w:rPr>
        <w:rStyle w:val="34"/>
      </w:rPr>
      <w:instrText xml:space="preserve">PAGE  </w:instrText>
    </w:r>
    <w:r>
      <w:fldChar w:fldCharType="separate"/>
    </w:r>
    <w:r>
      <w:rPr>
        <w:rStyle w:val="34"/>
      </w:rPr>
      <w:t>1</w:t>
    </w:r>
    <w:r>
      <w:fldChar w:fldCharType="end"/>
    </w:r>
  </w:p>
  <w:p w14:paraId="39639196">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B47D0">
    <w:pPr>
      <w:pStyle w:val="19"/>
      <w:framePr w:wrap="around" w:vAnchor="text" w:hAnchor="margin" w:xAlign="center" w:y="1"/>
      <w:rPr>
        <w:rStyle w:val="34"/>
      </w:rPr>
    </w:pPr>
    <w:r>
      <w:fldChar w:fldCharType="begin"/>
    </w:r>
    <w:r>
      <w:rPr>
        <w:rStyle w:val="34"/>
      </w:rPr>
      <w:instrText xml:space="preserve">PAGE  </w:instrText>
    </w:r>
    <w:r>
      <w:fldChar w:fldCharType="separate"/>
    </w:r>
    <w:r>
      <w:rPr>
        <w:rStyle w:val="34"/>
        <w:lang/>
      </w:rPr>
      <w:t>5</w:t>
    </w:r>
    <w:r>
      <w:fldChar w:fldCharType="end"/>
    </w:r>
  </w:p>
  <w:p w14:paraId="671090BD">
    <w:pPr>
      <w:pStyle w:val="19"/>
      <w:rPr>
        <w:rFonts w:ascii="楷体" w:hAnsi="楷体" w:eastAsia="楷体"/>
        <w:bCs/>
        <w:sz w:val="21"/>
        <w:szCs w:val="21"/>
      </w:rPr>
    </w:pPr>
    <w:r>
      <w:rPr>
        <w:rFonts w:hint="eastAsia" w:ascii="楷体" w:hAnsi="楷体" w:eastAsia="楷体"/>
        <w:bCs/>
        <w:sz w:val="21"/>
        <w:szCs w:val="21"/>
      </w:rPr>
      <w:t>丙烷等装置部分设备管道RBI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246FA">
    <w:pPr>
      <w:pStyle w:val="19"/>
      <w:framePr w:wrap="around" w:vAnchor="text" w:hAnchor="margin" w:xAlign="center" w:y="1"/>
      <w:rPr>
        <w:rStyle w:val="34"/>
      </w:rPr>
    </w:pPr>
    <w:r>
      <w:fldChar w:fldCharType="begin"/>
    </w:r>
    <w:r>
      <w:rPr>
        <w:rStyle w:val="34"/>
      </w:rPr>
      <w:instrText xml:space="preserve">PAGE  </w:instrText>
    </w:r>
    <w:r>
      <w:fldChar w:fldCharType="separate"/>
    </w:r>
    <w:r>
      <w:rPr>
        <w:rStyle w:val="34"/>
      </w:rPr>
      <w:t>1</w:t>
    </w:r>
    <w:r>
      <w:fldChar w:fldCharType="end"/>
    </w:r>
  </w:p>
  <w:p w14:paraId="493727CC">
    <w:pPr>
      <w:pStyle w:val="19"/>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826D">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1A0B">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singleLevel"/>
    <w:tmpl w:val="0000000F"/>
    <w:lvl w:ilvl="0" w:tentative="0">
      <w:start w:val="1"/>
      <w:numFmt w:val="lowerLetter"/>
      <w:suff w:val="space"/>
      <w:lvlText w:val="%1)"/>
      <w:lvlJc w:val="left"/>
    </w:lvl>
  </w:abstractNum>
  <w:abstractNum w:abstractNumId="1">
    <w:nsid w:val="00000011"/>
    <w:multiLevelType w:val="multilevel"/>
    <w:tmpl w:val="0000001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967722"/>
    <w:multiLevelType w:val="multilevel"/>
    <w:tmpl w:val="10967722"/>
    <w:lvl w:ilvl="0" w:tentative="0">
      <w:start w:val="1"/>
      <w:numFmt w:val="decimal"/>
      <w:lvlText w:val="%1)"/>
      <w:lvlJc w:val="left"/>
      <w:pPr>
        <w:tabs>
          <w:tab w:val="left" w:pos="1980"/>
        </w:tabs>
        <w:ind w:left="1980" w:hanging="420"/>
      </w:pPr>
      <w:rPr>
        <w:b w:val="0"/>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3">
    <w:nsid w:val="189657DD"/>
    <w:multiLevelType w:val="multilevel"/>
    <w:tmpl w:val="189657DD"/>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13156FD"/>
    <w:multiLevelType w:val="multilevel"/>
    <w:tmpl w:val="313156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3B5F64FE"/>
    <w:multiLevelType w:val="multilevel"/>
    <w:tmpl w:val="3B5F64FE"/>
    <w:lvl w:ilvl="0" w:tentative="0">
      <w:start w:val="1"/>
      <w:numFmt w:val="decimal"/>
      <w:lvlText w:val="%1)"/>
      <w:lvlJc w:val="left"/>
      <w:pPr>
        <w:tabs>
          <w:tab w:val="left" w:pos="1980"/>
        </w:tabs>
        <w:ind w:left="1980" w:hanging="420"/>
      </w:pPr>
      <w:rPr>
        <w:b w:val="0"/>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6">
    <w:nsid w:val="3EED3B4D"/>
    <w:multiLevelType w:val="multilevel"/>
    <w:tmpl w:val="3EED3B4D"/>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4EAA14FA"/>
    <w:multiLevelType w:val="multilevel"/>
    <w:tmpl w:val="4EAA14FA"/>
    <w:lvl w:ilvl="0" w:tentative="0">
      <w:start w:val="1"/>
      <w:numFmt w:val="bullet"/>
      <w:lvlText w:val=""/>
      <w:lvlJc w:val="left"/>
      <w:pPr>
        <w:tabs>
          <w:tab w:val="left" w:pos="840"/>
        </w:tabs>
        <w:ind w:left="840" w:hanging="420"/>
      </w:pPr>
      <w:rPr>
        <w:rFonts w:hint="default" w:ascii="Wingdings" w:hAnsi="Wingdings"/>
      </w:rPr>
    </w:lvl>
    <w:lvl w:ilvl="1" w:tentative="0">
      <w:start w:val="0"/>
      <w:numFmt w:val="bullet"/>
      <w:lvlText w:val="-"/>
      <w:lvlJc w:val="left"/>
      <w:pPr>
        <w:tabs>
          <w:tab w:val="left" w:pos="780"/>
        </w:tabs>
        <w:ind w:left="780" w:hanging="360"/>
      </w:pPr>
      <w:rPr>
        <w:rFonts w:hint="default" w:ascii="Times New Roman" w:hAnsi="Times New Roman" w:eastAsia="Times New Roman" w:cs="Times New Roman"/>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58E5236F"/>
    <w:multiLevelType w:val="multilevel"/>
    <w:tmpl w:val="58E5236F"/>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9">
    <w:nsid w:val="5B1911B9"/>
    <w:multiLevelType w:val="multilevel"/>
    <w:tmpl w:val="5B1911B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0">
    <w:nsid w:val="6CEA2025"/>
    <w:multiLevelType w:val="multilevel"/>
    <w:tmpl w:val="6CEA2025"/>
    <w:lvl w:ilvl="0" w:tentative="0">
      <w:start w:val="1"/>
      <w:numFmt w:val="none"/>
      <w:pStyle w:val="87"/>
      <w:suff w:val="nothing"/>
      <w:lvlText w:val="%1"/>
      <w:lvlJc w:val="left"/>
      <w:pPr>
        <w:ind w:left="0" w:firstLine="0"/>
      </w:pPr>
      <w:rPr>
        <w:rFonts w:hint="default" w:ascii="Times New Roman" w:hAnsi="Times New Roman"/>
        <w:b/>
        <w:i w:val="0"/>
        <w:sz w:val="21"/>
      </w:rPr>
    </w:lvl>
    <w:lvl w:ilvl="1" w:tentative="0">
      <w:start w:val="1"/>
      <w:numFmt w:val="decimal"/>
      <w:pStyle w:val="92"/>
      <w:suff w:val="nothing"/>
      <w:lvlText w:val="%1%2　"/>
      <w:lvlJc w:val="left"/>
      <w:pPr>
        <w:ind w:left="0" w:firstLine="0"/>
      </w:pPr>
      <w:rPr>
        <w:rFonts w:hint="default" w:ascii="Times New Roman" w:hAnsi="Times New Roman" w:eastAsia="黑体"/>
        <w:b/>
        <w:i w:val="0"/>
        <w:color w:val="auto"/>
        <w:sz w:val="24"/>
        <w:szCs w:val="24"/>
      </w:rPr>
    </w:lvl>
    <w:lvl w:ilvl="2" w:tentative="0">
      <w:start w:val="1"/>
      <w:numFmt w:val="decimal"/>
      <w:pStyle w:val="88"/>
      <w:suff w:val="nothing"/>
      <w:lvlText w:val="%1%2.%3　"/>
      <w:lvlJc w:val="left"/>
      <w:pPr>
        <w:ind w:left="540" w:firstLine="0"/>
      </w:pPr>
      <w:rPr>
        <w:rFonts w:hint="eastAsia" w:ascii="黑体" w:hAnsi="Times New Roman" w:eastAsia="黑体"/>
        <w:b w:val="0"/>
        <w:i w:val="0"/>
        <w:sz w:val="21"/>
      </w:rPr>
    </w:lvl>
    <w:lvl w:ilvl="3" w:tentative="0">
      <w:start w:val="1"/>
      <w:numFmt w:val="decimal"/>
      <w:suff w:val="nothing"/>
      <w:lvlText w:val="%1%2.%3.%4　"/>
      <w:lvlJc w:val="left"/>
      <w:pPr>
        <w:ind w:left="1080" w:firstLine="0"/>
      </w:pPr>
      <w:rPr>
        <w:rFonts w:hint="eastAsia" w:ascii="黑体" w:hAnsi="Times New Roman" w:eastAsia="黑体"/>
        <w:b w:val="0"/>
        <w:i w:val="0"/>
        <w:color w:val="auto"/>
        <w:sz w:val="21"/>
      </w:rPr>
    </w:lvl>
    <w:lvl w:ilvl="4" w:tentative="0">
      <w:start w:val="1"/>
      <w:numFmt w:val="decimal"/>
      <w:pStyle w:val="91"/>
      <w:suff w:val="nothing"/>
      <w:lvlText w:val="%1%2.%3.%4.%5　"/>
      <w:lvlJc w:val="left"/>
      <w:pPr>
        <w:ind w:left="900" w:firstLine="0"/>
      </w:pPr>
      <w:rPr>
        <w:rFonts w:hint="eastAsia" w:ascii="黑体" w:hAnsi="Times New Roman" w:eastAsia="黑体"/>
        <w:b w:val="0"/>
        <w:i w:val="0"/>
        <w:color w:val="auto"/>
        <w:sz w:val="21"/>
      </w:rPr>
    </w:lvl>
    <w:lvl w:ilvl="5" w:tentative="0">
      <w:start w:val="1"/>
      <w:numFmt w:val="decimal"/>
      <w:pStyle w:val="89"/>
      <w:suff w:val="nothing"/>
      <w:lvlText w:val="%1%2.%3.%4.%5.%6　"/>
      <w:lvlJc w:val="left"/>
      <w:pPr>
        <w:ind w:left="54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宋体" w:hAnsi="宋体" w:eastAsia="宋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70B51475"/>
    <w:multiLevelType w:val="multilevel"/>
    <w:tmpl w:val="70B51475"/>
    <w:lvl w:ilvl="0" w:tentative="0">
      <w:start w:val="1"/>
      <w:numFmt w:val="bullet"/>
      <w:lvlText w:val=""/>
      <w:lvlJc w:val="left"/>
      <w:pPr>
        <w:ind w:left="845" w:hanging="420"/>
      </w:pPr>
      <w:rPr>
        <w:rFonts w:hint="default" w:ascii="Wingdings" w:hAnsi="Wingdings"/>
      </w:rPr>
    </w:lvl>
    <w:lvl w:ilvl="1" w:tentative="0">
      <w:start w:val="1"/>
      <w:numFmt w:val="bullet"/>
      <w:lvlText w:val=""/>
      <w:lvlJc w:val="left"/>
      <w:pPr>
        <w:ind w:left="1265" w:hanging="420"/>
      </w:pPr>
      <w:rPr>
        <w:rFonts w:hint="default" w:ascii="Wingdings" w:hAnsi="Wingdings"/>
      </w:rPr>
    </w:lvl>
    <w:lvl w:ilvl="2" w:tentative="0">
      <w:start w:val="1"/>
      <w:numFmt w:val="bullet"/>
      <w:lvlText w:val=""/>
      <w:lvlJc w:val="left"/>
      <w:pPr>
        <w:ind w:left="1685" w:hanging="420"/>
      </w:pPr>
      <w:rPr>
        <w:rFonts w:hint="default" w:ascii="Wingdings" w:hAnsi="Wingdings"/>
      </w:rPr>
    </w:lvl>
    <w:lvl w:ilvl="3" w:tentative="0">
      <w:start w:val="1"/>
      <w:numFmt w:val="bullet"/>
      <w:lvlText w:val=""/>
      <w:lvlJc w:val="left"/>
      <w:pPr>
        <w:ind w:left="2105" w:hanging="420"/>
      </w:pPr>
      <w:rPr>
        <w:rFonts w:hint="default" w:ascii="Wingdings" w:hAnsi="Wingdings"/>
      </w:rPr>
    </w:lvl>
    <w:lvl w:ilvl="4" w:tentative="0">
      <w:start w:val="1"/>
      <w:numFmt w:val="bullet"/>
      <w:lvlText w:val=""/>
      <w:lvlJc w:val="left"/>
      <w:pPr>
        <w:ind w:left="2525" w:hanging="420"/>
      </w:pPr>
      <w:rPr>
        <w:rFonts w:hint="default" w:ascii="Wingdings" w:hAnsi="Wingdings"/>
      </w:rPr>
    </w:lvl>
    <w:lvl w:ilvl="5" w:tentative="0">
      <w:start w:val="1"/>
      <w:numFmt w:val="bullet"/>
      <w:lvlText w:val=""/>
      <w:lvlJc w:val="left"/>
      <w:pPr>
        <w:ind w:left="2945" w:hanging="420"/>
      </w:pPr>
      <w:rPr>
        <w:rFonts w:hint="default" w:ascii="Wingdings" w:hAnsi="Wingdings"/>
      </w:rPr>
    </w:lvl>
    <w:lvl w:ilvl="6" w:tentative="0">
      <w:start w:val="1"/>
      <w:numFmt w:val="bullet"/>
      <w:lvlText w:val=""/>
      <w:lvlJc w:val="left"/>
      <w:pPr>
        <w:ind w:left="3365" w:hanging="420"/>
      </w:pPr>
      <w:rPr>
        <w:rFonts w:hint="default" w:ascii="Wingdings" w:hAnsi="Wingdings"/>
      </w:rPr>
    </w:lvl>
    <w:lvl w:ilvl="7" w:tentative="0">
      <w:start w:val="1"/>
      <w:numFmt w:val="bullet"/>
      <w:lvlText w:val=""/>
      <w:lvlJc w:val="left"/>
      <w:pPr>
        <w:ind w:left="3785" w:hanging="420"/>
      </w:pPr>
      <w:rPr>
        <w:rFonts w:hint="default" w:ascii="Wingdings" w:hAnsi="Wingdings"/>
      </w:rPr>
    </w:lvl>
    <w:lvl w:ilvl="8" w:tentative="0">
      <w:start w:val="1"/>
      <w:numFmt w:val="bullet"/>
      <w:lvlText w:val=""/>
      <w:lvlJc w:val="left"/>
      <w:pPr>
        <w:ind w:left="4205" w:hanging="420"/>
      </w:pPr>
      <w:rPr>
        <w:rFonts w:hint="default" w:ascii="Wingdings" w:hAnsi="Wingdings"/>
      </w:rPr>
    </w:lvl>
  </w:abstractNum>
  <w:abstractNum w:abstractNumId="12">
    <w:nsid w:val="749F3E83"/>
    <w:multiLevelType w:val="multilevel"/>
    <w:tmpl w:val="749F3E8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3">
    <w:nsid w:val="77FA7297"/>
    <w:multiLevelType w:val="multilevel"/>
    <w:tmpl w:val="77FA729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0"/>
  </w:num>
  <w:num w:numId="3">
    <w:abstractNumId w:val="9"/>
  </w:num>
  <w:num w:numId="4">
    <w:abstractNumId w:val="6"/>
  </w:num>
  <w:num w:numId="5">
    <w:abstractNumId w:val="8"/>
  </w:num>
  <w:num w:numId="6">
    <w:abstractNumId w:val="11"/>
  </w:num>
  <w:num w:numId="7">
    <w:abstractNumId w:val="7"/>
  </w:num>
  <w:num w:numId="8">
    <w:abstractNumId w:val="2"/>
  </w:num>
  <w:num w:numId="9">
    <w:abstractNumId w:val="5"/>
  </w:num>
  <w:num w:numId="10">
    <w:abstractNumId w:val="3"/>
  </w:num>
  <w:num w:numId="11">
    <w:abstractNumId w:val="13"/>
  </w:num>
  <w:num w:numId="12">
    <w:abstractNumId w:val="4"/>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40"/>
  <w:hyphenationZone w:val="360"/>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953"/>
    <w:rsid w:val="0000121B"/>
    <w:rsid w:val="00001A53"/>
    <w:rsid w:val="00001DF6"/>
    <w:rsid w:val="00003EC3"/>
    <w:rsid w:val="00004633"/>
    <w:rsid w:val="00005AFE"/>
    <w:rsid w:val="000064EA"/>
    <w:rsid w:val="00007A11"/>
    <w:rsid w:val="00010E62"/>
    <w:rsid w:val="0001534D"/>
    <w:rsid w:val="0001796B"/>
    <w:rsid w:val="00017D25"/>
    <w:rsid w:val="000217F8"/>
    <w:rsid w:val="0002479B"/>
    <w:rsid w:val="000254F1"/>
    <w:rsid w:val="00030480"/>
    <w:rsid w:val="00030ADC"/>
    <w:rsid w:val="00032140"/>
    <w:rsid w:val="0003362C"/>
    <w:rsid w:val="0003365F"/>
    <w:rsid w:val="0003401F"/>
    <w:rsid w:val="00035DC2"/>
    <w:rsid w:val="00036C7B"/>
    <w:rsid w:val="00037264"/>
    <w:rsid w:val="00040675"/>
    <w:rsid w:val="00040D19"/>
    <w:rsid w:val="00040E39"/>
    <w:rsid w:val="00043AF3"/>
    <w:rsid w:val="00044855"/>
    <w:rsid w:val="0004630F"/>
    <w:rsid w:val="00047438"/>
    <w:rsid w:val="00053641"/>
    <w:rsid w:val="00053887"/>
    <w:rsid w:val="00055297"/>
    <w:rsid w:val="00055A53"/>
    <w:rsid w:val="00055F13"/>
    <w:rsid w:val="0005714B"/>
    <w:rsid w:val="0006067E"/>
    <w:rsid w:val="00061DD5"/>
    <w:rsid w:val="000636F8"/>
    <w:rsid w:val="0006484E"/>
    <w:rsid w:val="00064963"/>
    <w:rsid w:val="00064EA6"/>
    <w:rsid w:val="00065712"/>
    <w:rsid w:val="00065E98"/>
    <w:rsid w:val="00067C9F"/>
    <w:rsid w:val="000701C4"/>
    <w:rsid w:val="00072A6F"/>
    <w:rsid w:val="0007414B"/>
    <w:rsid w:val="00074911"/>
    <w:rsid w:val="00075A0B"/>
    <w:rsid w:val="00077042"/>
    <w:rsid w:val="0007750E"/>
    <w:rsid w:val="0008079E"/>
    <w:rsid w:val="000809DF"/>
    <w:rsid w:val="00081319"/>
    <w:rsid w:val="000827EA"/>
    <w:rsid w:val="000841DC"/>
    <w:rsid w:val="00085AEF"/>
    <w:rsid w:val="00085D8D"/>
    <w:rsid w:val="00085EE5"/>
    <w:rsid w:val="00086303"/>
    <w:rsid w:val="00086BB1"/>
    <w:rsid w:val="00086E1E"/>
    <w:rsid w:val="000877C5"/>
    <w:rsid w:val="000932F5"/>
    <w:rsid w:val="00096BF7"/>
    <w:rsid w:val="000974BD"/>
    <w:rsid w:val="000A0A8F"/>
    <w:rsid w:val="000A0B4D"/>
    <w:rsid w:val="000A1184"/>
    <w:rsid w:val="000A1A52"/>
    <w:rsid w:val="000A1FC0"/>
    <w:rsid w:val="000A253C"/>
    <w:rsid w:val="000A3B0C"/>
    <w:rsid w:val="000A4246"/>
    <w:rsid w:val="000A7737"/>
    <w:rsid w:val="000A7C26"/>
    <w:rsid w:val="000B07BC"/>
    <w:rsid w:val="000B23B6"/>
    <w:rsid w:val="000B43A6"/>
    <w:rsid w:val="000B463F"/>
    <w:rsid w:val="000C18DA"/>
    <w:rsid w:val="000C1C2D"/>
    <w:rsid w:val="000C2726"/>
    <w:rsid w:val="000C2BA1"/>
    <w:rsid w:val="000C2EEE"/>
    <w:rsid w:val="000C321B"/>
    <w:rsid w:val="000C3CA6"/>
    <w:rsid w:val="000C41F3"/>
    <w:rsid w:val="000C7810"/>
    <w:rsid w:val="000C7D99"/>
    <w:rsid w:val="000D17AD"/>
    <w:rsid w:val="000D2F08"/>
    <w:rsid w:val="000D45F8"/>
    <w:rsid w:val="000D49D5"/>
    <w:rsid w:val="000D51B6"/>
    <w:rsid w:val="000D69CA"/>
    <w:rsid w:val="000E30BC"/>
    <w:rsid w:val="000E4A14"/>
    <w:rsid w:val="000E7059"/>
    <w:rsid w:val="000F0ED1"/>
    <w:rsid w:val="000F133A"/>
    <w:rsid w:val="000F1A11"/>
    <w:rsid w:val="000F4204"/>
    <w:rsid w:val="000F5E4F"/>
    <w:rsid w:val="000F6682"/>
    <w:rsid w:val="0010039E"/>
    <w:rsid w:val="00103902"/>
    <w:rsid w:val="00104266"/>
    <w:rsid w:val="0010449A"/>
    <w:rsid w:val="00105CB6"/>
    <w:rsid w:val="00106354"/>
    <w:rsid w:val="00106820"/>
    <w:rsid w:val="00107165"/>
    <w:rsid w:val="0010723B"/>
    <w:rsid w:val="00110797"/>
    <w:rsid w:val="001121FD"/>
    <w:rsid w:val="001137F0"/>
    <w:rsid w:val="0011533C"/>
    <w:rsid w:val="00116841"/>
    <w:rsid w:val="00116F2A"/>
    <w:rsid w:val="0011751E"/>
    <w:rsid w:val="00120F77"/>
    <w:rsid w:val="00121B6E"/>
    <w:rsid w:val="00124676"/>
    <w:rsid w:val="00125739"/>
    <w:rsid w:val="001273D6"/>
    <w:rsid w:val="00130605"/>
    <w:rsid w:val="001326F9"/>
    <w:rsid w:val="00132C5E"/>
    <w:rsid w:val="00133D43"/>
    <w:rsid w:val="00137B6D"/>
    <w:rsid w:val="001407EC"/>
    <w:rsid w:val="00140A68"/>
    <w:rsid w:val="00141084"/>
    <w:rsid w:val="00141466"/>
    <w:rsid w:val="001427BB"/>
    <w:rsid w:val="00142D76"/>
    <w:rsid w:val="001431FA"/>
    <w:rsid w:val="00144D3A"/>
    <w:rsid w:val="00146065"/>
    <w:rsid w:val="00146167"/>
    <w:rsid w:val="00146316"/>
    <w:rsid w:val="0014636F"/>
    <w:rsid w:val="0015017F"/>
    <w:rsid w:val="00153426"/>
    <w:rsid w:val="00155504"/>
    <w:rsid w:val="001565EA"/>
    <w:rsid w:val="001571E6"/>
    <w:rsid w:val="00160BE3"/>
    <w:rsid w:val="0016140C"/>
    <w:rsid w:val="00161620"/>
    <w:rsid w:val="00161907"/>
    <w:rsid w:val="00162376"/>
    <w:rsid w:val="00164AA3"/>
    <w:rsid w:val="00165268"/>
    <w:rsid w:val="00166392"/>
    <w:rsid w:val="0016681E"/>
    <w:rsid w:val="00166A6D"/>
    <w:rsid w:val="00170EB1"/>
    <w:rsid w:val="00172115"/>
    <w:rsid w:val="00172327"/>
    <w:rsid w:val="00173279"/>
    <w:rsid w:val="00173F88"/>
    <w:rsid w:val="00175DAC"/>
    <w:rsid w:val="00175FC3"/>
    <w:rsid w:val="00177D0D"/>
    <w:rsid w:val="00181037"/>
    <w:rsid w:val="00183CCF"/>
    <w:rsid w:val="00183E29"/>
    <w:rsid w:val="00186732"/>
    <w:rsid w:val="00194016"/>
    <w:rsid w:val="00195E6A"/>
    <w:rsid w:val="00196FB6"/>
    <w:rsid w:val="001A055A"/>
    <w:rsid w:val="001A403C"/>
    <w:rsid w:val="001A4EBD"/>
    <w:rsid w:val="001A528A"/>
    <w:rsid w:val="001A5C31"/>
    <w:rsid w:val="001B13D4"/>
    <w:rsid w:val="001B322A"/>
    <w:rsid w:val="001B35E4"/>
    <w:rsid w:val="001B3B11"/>
    <w:rsid w:val="001B62C7"/>
    <w:rsid w:val="001B663A"/>
    <w:rsid w:val="001B68CA"/>
    <w:rsid w:val="001B6E9E"/>
    <w:rsid w:val="001C0163"/>
    <w:rsid w:val="001C018B"/>
    <w:rsid w:val="001C1C36"/>
    <w:rsid w:val="001C220E"/>
    <w:rsid w:val="001C3A5B"/>
    <w:rsid w:val="001C3B82"/>
    <w:rsid w:val="001C459F"/>
    <w:rsid w:val="001C4A17"/>
    <w:rsid w:val="001C5444"/>
    <w:rsid w:val="001C62F2"/>
    <w:rsid w:val="001D0448"/>
    <w:rsid w:val="001D0DF9"/>
    <w:rsid w:val="001D56D0"/>
    <w:rsid w:val="001D579F"/>
    <w:rsid w:val="001D5B00"/>
    <w:rsid w:val="001D5B62"/>
    <w:rsid w:val="001D6C0A"/>
    <w:rsid w:val="001D7468"/>
    <w:rsid w:val="001E12C9"/>
    <w:rsid w:val="001E27B1"/>
    <w:rsid w:val="001E68AA"/>
    <w:rsid w:val="001E7853"/>
    <w:rsid w:val="001F0513"/>
    <w:rsid w:val="001F3F84"/>
    <w:rsid w:val="001F4781"/>
    <w:rsid w:val="001F5FAF"/>
    <w:rsid w:val="001F70E4"/>
    <w:rsid w:val="001F72F3"/>
    <w:rsid w:val="001F7CFC"/>
    <w:rsid w:val="002015C4"/>
    <w:rsid w:val="0020208B"/>
    <w:rsid w:val="002073A6"/>
    <w:rsid w:val="00207B78"/>
    <w:rsid w:val="00210411"/>
    <w:rsid w:val="002111AB"/>
    <w:rsid w:val="0021130E"/>
    <w:rsid w:val="00211912"/>
    <w:rsid w:val="00212BD1"/>
    <w:rsid w:val="00213007"/>
    <w:rsid w:val="00213049"/>
    <w:rsid w:val="00213FB8"/>
    <w:rsid w:val="00221C0B"/>
    <w:rsid w:val="00221C76"/>
    <w:rsid w:val="002223FD"/>
    <w:rsid w:val="00222A38"/>
    <w:rsid w:val="00224A36"/>
    <w:rsid w:val="00226808"/>
    <w:rsid w:val="00226B4B"/>
    <w:rsid w:val="00227966"/>
    <w:rsid w:val="002304AF"/>
    <w:rsid w:val="00231DE6"/>
    <w:rsid w:val="00232365"/>
    <w:rsid w:val="00232AC8"/>
    <w:rsid w:val="00234046"/>
    <w:rsid w:val="002349B8"/>
    <w:rsid w:val="002349DE"/>
    <w:rsid w:val="00235BEB"/>
    <w:rsid w:val="002427AB"/>
    <w:rsid w:val="002445D6"/>
    <w:rsid w:val="00244615"/>
    <w:rsid w:val="0024581F"/>
    <w:rsid w:val="00245DD7"/>
    <w:rsid w:val="002462F7"/>
    <w:rsid w:val="0024641B"/>
    <w:rsid w:val="002474A6"/>
    <w:rsid w:val="00250878"/>
    <w:rsid w:val="00251B8A"/>
    <w:rsid w:val="00251F0B"/>
    <w:rsid w:val="002573E2"/>
    <w:rsid w:val="00263A7F"/>
    <w:rsid w:val="00265AF1"/>
    <w:rsid w:val="0026631D"/>
    <w:rsid w:val="00266335"/>
    <w:rsid w:val="00266850"/>
    <w:rsid w:val="00266B6B"/>
    <w:rsid w:val="00267C24"/>
    <w:rsid w:val="00271CF9"/>
    <w:rsid w:val="00274600"/>
    <w:rsid w:val="00275D0F"/>
    <w:rsid w:val="00280628"/>
    <w:rsid w:val="00280812"/>
    <w:rsid w:val="002811A3"/>
    <w:rsid w:val="002813DC"/>
    <w:rsid w:val="0028210A"/>
    <w:rsid w:val="002832F3"/>
    <w:rsid w:val="0028333B"/>
    <w:rsid w:val="002839CA"/>
    <w:rsid w:val="00283D7C"/>
    <w:rsid w:val="0028554C"/>
    <w:rsid w:val="00286A63"/>
    <w:rsid w:val="002871DA"/>
    <w:rsid w:val="00287D11"/>
    <w:rsid w:val="002901E2"/>
    <w:rsid w:val="002932D3"/>
    <w:rsid w:val="00295E1E"/>
    <w:rsid w:val="00297E7B"/>
    <w:rsid w:val="002A056F"/>
    <w:rsid w:val="002A0DC0"/>
    <w:rsid w:val="002A1377"/>
    <w:rsid w:val="002A16A1"/>
    <w:rsid w:val="002A1784"/>
    <w:rsid w:val="002A25C8"/>
    <w:rsid w:val="002A2EA7"/>
    <w:rsid w:val="002A35E7"/>
    <w:rsid w:val="002A3A77"/>
    <w:rsid w:val="002A4C1F"/>
    <w:rsid w:val="002A63EA"/>
    <w:rsid w:val="002A7586"/>
    <w:rsid w:val="002A76FF"/>
    <w:rsid w:val="002B153E"/>
    <w:rsid w:val="002B1C36"/>
    <w:rsid w:val="002B448B"/>
    <w:rsid w:val="002B460A"/>
    <w:rsid w:val="002C1E7E"/>
    <w:rsid w:val="002C2AAA"/>
    <w:rsid w:val="002C37DC"/>
    <w:rsid w:val="002C5740"/>
    <w:rsid w:val="002C7400"/>
    <w:rsid w:val="002C75D3"/>
    <w:rsid w:val="002C7F31"/>
    <w:rsid w:val="002D0F9B"/>
    <w:rsid w:val="002D27AB"/>
    <w:rsid w:val="002D553F"/>
    <w:rsid w:val="002D658B"/>
    <w:rsid w:val="002D72A4"/>
    <w:rsid w:val="002D78AF"/>
    <w:rsid w:val="002E0C71"/>
    <w:rsid w:val="002E1B6F"/>
    <w:rsid w:val="002E21BD"/>
    <w:rsid w:val="002E33D4"/>
    <w:rsid w:val="002E3832"/>
    <w:rsid w:val="002E4040"/>
    <w:rsid w:val="002E500D"/>
    <w:rsid w:val="002E64FD"/>
    <w:rsid w:val="002E76DF"/>
    <w:rsid w:val="002F1318"/>
    <w:rsid w:val="002F1F5E"/>
    <w:rsid w:val="002F20A3"/>
    <w:rsid w:val="002F269A"/>
    <w:rsid w:val="002F352A"/>
    <w:rsid w:val="002F3CC7"/>
    <w:rsid w:val="002F4956"/>
    <w:rsid w:val="002F4AB7"/>
    <w:rsid w:val="002F649A"/>
    <w:rsid w:val="003010AD"/>
    <w:rsid w:val="00301149"/>
    <w:rsid w:val="00301B1D"/>
    <w:rsid w:val="00301FAD"/>
    <w:rsid w:val="003037E8"/>
    <w:rsid w:val="00305155"/>
    <w:rsid w:val="003057FB"/>
    <w:rsid w:val="00306D9F"/>
    <w:rsid w:val="00307E2E"/>
    <w:rsid w:val="00310155"/>
    <w:rsid w:val="003132AE"/>
    <w:rsid w:val="00313496"/>
    <w:rsid w:val="003155FD"/>
    <w:rsid w:val="00316506"/>
    <w:rsid w:val="00316B3F"/>
    <w:rsid w:val="00321088"/>
    <w:rsid w:val="00321280"/>
    <w:rsid w:val="00321789"/>
    <w:rsid w:val="00322608"/>
    <w:rsid w:val="0032482F"/>
    <w:rsid w:val="0032584B"/>
    <w:rsid w:val="00330A53"/>
    <w:rsid w:val="003323CE"/>
    <w:rsid w:val="00333937"/>
    <w:rsid w:val="00334299"/>
    <w:rsid w:val="003368FE"/>
    <w:rsid w:val="00337100"/>
    <w:rsid w:val="00337674"/>
    <w:rsid w:val="00337A84"/>
    <w:rsid w:val="003408B5"/>
    <w:rsid w:val="00340E4A"/>
    <w:rsid w:val="003414A1"/>
    <w:rsid w:val="0034251C"/>
    <w:rsid w:val="0034360B"/>
    <w:rsid w:val="00343F1D"/>
    <w:rsid w:val="00344208"/>
    <w:rsid w:val="003450AD"/>
    <w:rsid w:val="00346F80"/>
    <w:rsid w:val="00352053"/>
    <w:rsid w:val="0035235A"/>
    <w:rsid w:val="003526BA"/>
    <w:rsid w:val="003547AC"/>
    <w:rsid w:val="00354EC4"/>
    <w:rsid w:val="0035544A"/>
    <w:rsid w:val="00355ACE"/>
    <w:rsid w:val="00355ED7"/>
    <w:rsid w:val="00362AE4"/>
    <w:rsid w:val="00362D84"/>
    <w:rsid w:val="003635A9"/>
    <w:rsid w:val="00363802"/>
    <w:rsid w:val="003647F3"/>
    <w:rsid w:val="003666AD"/>
    <w:rsid w:val="00367FB4"/>
    <w:rsid w:val="003701A3"/>
    <w:rsid w:val="00370A95"/>
    <w:rsid w:val="003716C6"/>
    <w:rsid w:val="00371869"/>
    <w:rsid w:val="00371D53"/>
    <w:rsid w:val="0037244B"/>
    <w:rsid w:val="00372464"/>
    <w:rsid w:val="0037484B"/>
    <w:rsid w:val="00376487"/>
    <w:rsid w:val="0037661B"/>
    <w:rsid w:val="003768B3"/>
    <w:rsid w:val="00377362"/>
    <w:rsid w:val="003821F8"/>
    <w:rsid w:val="00384815"/>
    <w:rsid w:val="003858CC"/>
    <w:rsid w:val="003867A0"/>
    <w:rsid w:val="0039317F"/>
    <w:rsid w:val="00393586"/>
    <w:rsid w:val="00395954"/>
    <w:rsid w:val="00395AE2"/>
    <w:rsid w:val="0039698E"/>
    <w:rsid w:val="00396BCD"/>
    <w:rsid w:val="00397BF1"/>
    <w:rsid w:val="003A032C"/>
    <w:rsid w:val="003A0C52"/>
    <w:rsid w:val="003A0CED"/>
    <w:rsid w:val="003A23DA"/>
    <w:rsid w:val="003A2841"/>
    <w:rsid w:val="003A2F75"/>
    <w:rsid w:val="003A37A0"/>
    <w:rsid w:val="003A3AFF"/>
    <w:rsid w:val="003B1EF3"/>
    <w:rsid w:val="003B3A92"/>
    <w:rsid w:val="003C125A"/>
    <w:rsid w:val="003C25CA"/>
    <w:rsid w:val="003C2C99"/>
    <w:rsid w:val="003C312B"/>
    <w:rsid w:val="003C3587"/>
    <w:rsid w:val="003C4890"/>
    <w:rsid w:val="003C56B0"/>
    <w:rsid w:val="003C6365"/>
    <w:rsid w:val="003C7E94"/>
    <w:rsid w:val="003C7EAB"/>
    <w:rsid w:val="003D0E28"/>
    <w:rsid w:val="003D263E"/>
    <w:rsid w:val="003D46ED"/>
    <w:rsid w:val="003D485E"/>
    <w:rsid w:val="003D5F31"/>
    <w:rsid w:val="003D6D6E"/>
    <w:rsid w:val="003D6EB6"/>
    <w:rsid w:val="003E0C40"/>
    <w:rsid w:val="003E3E16"/>
    <w:rsid w:val="003E417A"/>
    <w:rsid w:val="003E4705"/>
    <w:rsid w:val="003E5581"/>
    <w:rsid w:val="003F448D"/>
    <w:rsid w:val="003F5C1A"/>
    <w:rsid w:val="003F691A"/>
    <w:rsid w:val="003F6997"/>
    <w:rsid w:val="004012A4"/>
    <w:rsid w:val="00404F9F"/>
    <w:rsid w:val="00407491"/>
    <w:rsid w:val="00407A3D"/>
    <w:rsid w:val="004100FE"/>
    <w:rsid w:val="00410AD7"/>
    <w:rsid w:val="00411A55"/>
    <w:rsid w:val="004130B8"/>
    <w:rsid w:val="00413BE7"/>
    <w:rsid w:val="0041578E"/>
    <w:rsid w:val="004161EA"/>
    <w:rsid w:val="00416863"/>
    <w:rsid w:val="00416A2D"/>
    <w:rsid w:val="004177A8"/>
    <w:rsid w:val="00417C14"/>
    <w:rsid w:val="0042016A"/>
    <w:rsid w:val="00420903"/>
    <w:rsid w:val="00420B2A"/>
    <w:rsid w:val="00421C1D"/>
    <w:rsid w:val="004222A7"/>
    <w:rsid w:val="0042314A"/>
    <w:rsid w:val="00425791"/>
    <w:rsid w:val="0042710C"/>
    <w:rsid w:val="00430267"/>
    <w:rsid w:val="00430F88"/>
    <w:rsid w:val="00432548"/>
    <w:rsid w:val="00432B4A"/>
    <w:rsid w:val="00434E4E"/>
    <w:rsid w:val="00435B3E"/>
    <w:rsid w:val="004362A4"/>
    <w:rsid w:val="00436FC6"/>
    <w:rsid w:val="00440D38"/>
    <w:rsid w:val="00441CD5"/>
    <w:rsid w:val="00446281"/>
    <w:rsid w:val="004462B3"/>
    <w:rsid w:val="004467FF"/>
    <w:rsid w:val="00446CBF"/>
    <w:rsid w:val="00446D77"/>
    <w:rsid w:val="00447493"/>
    <w:rsid w:val="00447778"/>
    <w:rsid w:val="00450E79"/>
    <w:rsid w:val="00451787"/>
    <w:rsid w:val="00451DA4"/>
    <w:rsid w:val="00453106"/>
    <w:rsid w:val="0045587E"/>
    <w:rsid w:val="004559E6"/>
    <w:rsid w:val="00456450"/>
    <w:rsid w:val="00461701"/>
    <w:rsid w:val="0046235D"/>
    <w:rsid w:val="004627A2"/>
    <w:rsid w:val="00462C5F"/>
    <w:rsid w:val="00464859"/>
    <w:rsid w:val="00465732"/>
    <w:rsid w:val="004677F4"/>
    <w:rsid w:val="004700B0"/>
    <w:rsid w:val="004703F0"/>
    <w:rsid w:val="00470F24"/>
    <w:rsid w:val="00471B26"/>
    <w:rsid w:val="00473208"/>
    <w:rsid w:val="00474337"/>
    <w:rsid w:val="00474E59"/>
    <w:rsid w:val="00475EA7"/>
    <w:rsid w:val="004765F3"/>
    <w:rsid w:val="00477251"/>
    <w:rsid w:val="00477632"/>
    <w:rsid w:val="00477793"/>
    <w:rsid w:val="0048116F"/>
    <w:rsid w:val="00484165"/>
    <w:rsid w:val="00486543"/>
    <w:rsid w:val="0049082A"/>
    <w:rsid w:val="004909ED"/>
    <w:rsid w:val="00492444"/>
    <w:rsid w:val="00493CC2"/>
    <w:rsid w:val="00493D9A"/>
    <w:rsid w:val="00496053"/>
    <w:rsid w:val="0049611B"/>
    <w:rsid w:val="00497A88"/>
    <w:rsid w:val="004A0BF0"/>
    <w:rsid w:val="004A39AB"/>
    <w:rsid w:val="004A3A95"/>
    <w:rsid w:val="004A3DBA"/>
    <w:rsid w:val="004A3FB6"/>
    <w:rsid w:val="004A4191"/>
    <w:rsid w:val="004A571B"/>
    <w:rsid w:val="004A6A66"/>
    <w:rsid w:val="004A6BFA"/>
    <w:rsid w:val="004A7A5A"/>
    <w:rsid w:val="004A7FC0"/>
    <w:rsid w:val="004B26AF"/>
    <w:rsid w:val="004B3A27"/>
    <w:rsid w:val="004B5301"/>
    <w:rsid w:val="004B6F0B"/>
    <w:rsid w:val="004C011C"/>
    <w:rsid w:val="004C02B7"/>
    <w:rsid w:val="004C1AF5"/>
    <w:rsid w:val="004C2D24"/>
    <w:rsid w:val="004C3CE2"/>
    <w:rsid w:val="004C4955"/>
    <w:rsid w:val="004C4E2D"/>
    <w:rsid w:val="004C4E62"/>
    <w:rsid w:val="004C5975"/>
    <w:rsid w:val="004C7550"/>
    <w:rsid w:val="004D23A3"/>
    <w:rsid w:val="004D303E"/>
    <w:rsid w:val="004D33DF"/>
    <w:rsid w:val="004D3EFC"/>
    <w:rsid w:val="004D4543"/>
    <w:rsid w:val="004D697A"/>
    <w:rsid w:val="004E0AB4"/>
    <w:rsid w:val="004E1922"/>
    <w:rsid w:val="004E1D49"/>
    <w:rsid w:val="004E23F0"/>
    <w:rsid w:val="004E33B2"/>
    <w:rsid w:val="004E3EE2"/>
    <w:rsid w:val="004E4E50"/>
    <w:rsid w:val="004E4E9C"/>
    <w:rsid w:val="004E62E2"/>
    <w:rsid w:val="004F066D"/>
    <w:rsid w:val="004F4C85"/>
    <w:rsid w:val="004F4F4A"/>
    <w:rsid w:val="004F5107"/>
    <w:rsid w:val="004F5E98"/>
    <w:rsid w:val="004F6F89"/>
    <w:rsid w:val="004F7525"/>
    <w:rsid w:val="004F7B21"/>
    <w:rsid w:val="0050082C"/>
    <w:rsid w:val="00500AA5"/>
    <w:rsid w:val="005010CC"/>
    <w:rsid w:val="00502C65"/>
    <w:rsid w:val="0050493A"/>
    <w:rsid w:val="00505D4C"/>
    <w:rsid w:val="0050681B"/>
    <w:rsid w:val="00507AB4"/>
    <w:rsid w:val="00507D17"/>
    <w:rsid w:val="00507DE1"/>
    <w:rsid w:val="00513A4E"/>
    <w:rsid w:val="00514FAA"/>
    <w:rsid w:val="0051587A"/>
    <w:rsid w:val="00515B15"/>
    <w:rsid w:val="00516A26"/>
    <w:rsid w:val="0052014A"/>
    <w:rsid w:val="00521701"/>
    <w:rsid w:val="00521F67"/>
    <w:rsid w:val="00522AC0"/>
    <w:rsid w:val="0052458D"/>
    <w:rsid w:val="00530010"/>
    <w:rsid w:val="00530170"/>
    <w:rsid w:val="0053056E"/>
    <w:rsid w:val="00530A19"/>
    <w:rsid w:val="00531017"/>
    <w:rsid w:val="00532926"/>
    <w:rsid w:val="0053297E"/>
    <w:rsid w:val="00533120"/>
    <w:rsid w:val="00533614"/>
    <w:rsid w:val="005336DB"/>
    <w:rsid w:val="00535B3E"/>
    <w:rsid w:val="00535F0F"/>
    <w:rsid w:val="0053661A"/>
    <w:rsid w:val="005377E2"/>
    <w:rsid w:val="00537B9B"/>
    <w:rsid w:val="00537D1F"/>
    <w:rsid w:val="005402FD"/>
    <w:rsid w:val="00540684"/>
    <w:rsid w:val="00541094"/>
    <w:rsid w:val="00541EBB"/>
    <w:rsid w:val="00542627"/>
    <w:rsid w:val="00543A91"/>
    <w:rsid w:val="00544221"/>
    <w:rsid w:val="005455A3"/>
    <w:rsid w:val="00545AD0"/>
    <w:rsid w:val="00546044"/>
    <w:rsid w:val="00551125"/>
    <w:rsid w:val="00551DDA"/>
    <w:rsid w:val="00553D99"/>
    <w:rsid w:val="00553F51"/>
    <w:rsid w:val="00554721"/>
    <w:rsid w:val="005547FA"/>
    <w:rsid w:val="00555001"/>
    <w:rsid w:val="005555A8"/>
    <w:rsid w:val="0056020E"/>
    <w:rsid w:val="00561E2D"/>
    <w:rsid w:val="005648A7"/>
    <w:rsid w:val="00565951"/>
    <w:rsid w:val="0056692A"/>
    <w:rsid w:val="00567672"/>
    <w:rsid w:val="00570474"/>
    <w:rsid w:val="005704B7"/>
    <w:rsid w:val="005710A8"/>
    <w:rsid w:val="005746D4"/>
    <w:rsid w:val="00574C99"/>
    <w:rsid w:val="00574F28"/>
    <w:rsid w:val="0057534B"/>
    <w:rsid w:val="00577923"/>
    <w:rsid w:val="00580481"/>
    <w:rsid w:val="005818F4"/>
    <w:rsid w:val="005822D0"/>
    <w:rsid w:val="00582D43"/>
    <w:rsid w:val="0058356C"/>
    <w:rsid w:val="00583B56"/>
    <w:rsid w:val="00584021"/>
    <w:rsid w:val="00585005"/>
    <w:rsid w:val="005903AF"/>
    <w:rsid w:val="005913FD"/>
    <w:rsid w:val="005920B9"/>
    <w:rsid w:val="0059259B"/>
    <w:rsid w:val="005A2279"/>
    <w:rsid w:val="005A26C3"/>
    <w:rsid w:val="005A47F8"/>
    <w:rsid w:val="005A6920"/>
    <w:rsid w:val="005A7B01"/>
    <w:rsid w:val="005B00D4"/>
    <w:rsid w:val="005B113A"/>
    <w:rsid w:val="005B15AB"/>
    <w:rsid w:val="005B34BD"/>
    <w:rsid w:val="005B45E7"/>
    <w:rsid w:val="005B46F9"/>
    <w:rsid w:val="005B4A89"/>
    <w:rsid w:val="005C0AAA"/>
    <w:rsid w:val="005C6414"/>
    <w:rsid w:val="005C748C"/>
    <w:rsid w:val="005C7D07"/>
    <w:rsid w:val="005D06AF"/>
    <w:rsid w:val="005D0C0E"/>
    <w:rsid w:val="005D139E"/>
    <w:rsid w:val="005D1EBB"/>
    <w:rsid w:val="005D28BE"/>
    <w:rsid w:val="005D2ABC"/>
    <w:rsid w:val="005D3BC0"/>
    <w:rsid w:val="005D3C96"/>
    <w:rsid w:val="005D779E"/>
    <w:rsid w:val="005E0D29"/>
    <w:rsid w:val="005E1F02"/>
    <w:rsid w:val="005E75AE"/>
    <w:rsid w:val="005E7883"/>
    <w:rsid w:val="005F186E"/>
    <w:rsid w:val="005F1895"/>
    <w:rsid w:val="005F2A8F"/>
    <w:rsid w:val="005F2BC4"/>
    <w:rsid w:val="005F3C2F"/>
    <w:rsid w:val="005F3D43"/>
    <w:rsid w:val="005F7048"/>
    <w:rsid w:val="00601C0D"/>
    <w:rsid w:val="0060373D"/>
    <w:rsid w:val="006057E6"/>
    <w:rsid w:val="00606957"/>
    <w:rsid w:val="00606C74"/>
    <w:rsid w:val="00607DA5"/>
    <w:rsid w:val="00610068"/>
    <w:rsid w:val="0061047D"/>
    <w:rsid w:val="00611118"/>
    <w:rsid w:val="006112CD"/>
    <w:rsid w:val="00611847"/>
    <w:rsid w:val="00612C21"/>
    <w:rsid w:val="0061340A"/>
    <w:rsid w:val="00613B73"/>
    <w:rsid w:val="00613F73"/>
    <w:rsid w:val="00614D2E"/>
    <w:rsid w:val="006155BE"/>
    <w:rsid w:val="006218BA"/>
    <w:rsid w:val="0062574A"/>
    <w:rsid w:val="00625D47"/>
    <w:rsid w:val="006273E2"/>
    <w:rsid w:val="00627B88"/>
    <w:rsid w:val="00630454"/>
    <w:rsid w:val="006306DB"/>
    <w:rsid w:val="006310BB"/>
    <w:rsid w:val="00631690"/>
    <w:rsid w:val="00632127"/>
    <w:rsid w:val="00632315"/>
    <w:rsid w:val="00632E97"/>
    <w:rsid w:val="00633736"/>
    <w:rsid w:val="00636D15"/>
    <w:rsid w:val="0063748E"/>
    <w:rsid w:val="0064271A"/>
    <w:rsid w:val="00643BA9"/>
    <w:rsid w:val="00643ED8"/>
    <w:rsid w:val="00644200"/>
    <w:rsid w:val="0064620B"/>
    <w:rsid w:val="00646957"/>
    <w:rsid w:val="006476AB"/>
    <w:rsid w:val="00647EEC"/>
    <w:rsid w:val="006515DD"/>
    <w:rsid w:val="00651BD5"/>
    <w:rsid w:val="0065430A"/>
    <w:rsid w:val="00654D40"/>
    <w:rsid w:val="00654DBE"/>
    <w:rsid w:val="006563C9"/>
    <w:rsid w:val="006566D2"/>
    <w:rsid w:val="00656846"/>
    <w:rsid w:val="00656B4C"/>
    <w:rsid w:val="0065759E"/>
    <w:rsid w:val="00660402"/>
    <w:rsid w:val="00660A42"/>
    <w:rsid w:val="00661398"/>
    <w:rsid w:val="0066181E"/>
    <w:rsid w:val="00662484"/>
    <w:rsid w:val="00662B9A"/>
    <w:rsid w:val="0066544F"/>
    <w:rsid w:val="00665685"/>
    <w:rsid w:val="00665A95"/>
    <w:rsid w:val="00665C05"/>
    <w:rsid w:val="0066674E"/>
    <w:rsid w:val="006722F0"/>
    <w:rsid w:val="00675CC7"/>
    <w:rsid w:val="00675D89"/>
    <w:rsid w:val="006763B7"/>
    <w:rsid w:val="00677032"/>
    <w:rsid w:val="00680959"/>
    <w:rsid w:val="00680BDE"/>
    <w:rsid w:val="00680F14"/>
    <w:rsid w:val="00681ACA"/>
    <w:rsid w:val="00683D1E"/>
    <w:rsid w:val="00685BC5"/>
    <w:rsid w:val="00690386"/>
    <w:rsid w:val="0069058E"/>
    <w:rsid w:val="006910EE"/>
    <w:rsid w:val="00691B16"/>
    <w:rsid w:val="006924E2"/>
    <w:rsid w:val="006936E6"/>
    <w:rsid w:val="00693CE4"/>
    <w:rsid w:val="00694B78"/>
    <w:rsid w:val="00695D21"/>
    <w:rsid w:val="0069605D"/>
    <w:rsid w:val="006961AE"/>
    <w:rsid w:val="00696760"/>
    <w:rsid w:val="006A1BC5"/>
    <w:rsid w:val="006A29F2"/>
    <w:rsid w:val="006A4F4F"/>
    <w:rsid w:val="006A5DCC"/>
    <w:rsid w:val="006B04D4"/>
    <w:rsid w:val="006B1866"/>
    <w:rsid w:val="006B3C54"/>
    <w:rsid w:val="006B4F09"/>
    <w:rsid w:val="006B56BA"/>
    <w:rsid w:val="006B7111"/>
    <w:rsid w:val="006B77E0"/>
    <w:rsid w:val="006C32F8"/>
    <w:rsid w:val="006D0081"/>
    <w:rsid w:val="006D034E"/>
    <w:rsid w:val="006D0929"/>
    <w:rsid w:val="006D1AFB"/>
    <w:rsid w:val="006D2057"/>
    <w:rsid w:val="006D3449"/>
    <w:rsid w:val="006D4D21"/>
    <w:rsid w:val="006E00CB"/>
    <w:rsid w:val="006E06FB"/>
    <w:rsid w:val="006E0E9D"/>
    <w:rsid w:val="006E216E"/>
    <w:rsid w:val="006E7D6C"/>
    <w:rsid w:val="006F0FEA"/>
    <w:rsid w:val="006F20DD"/>
    <w:rsid w:val="006F417A"/>
    <w:rsid w:val="006F6767"/>
    <w:rsid w:val="006F7025"/>
    <w:rsid w:val="00705ED6"/>
    <w:rsid w:val="00706DD7"/>
    <w:rsid w:val="00706DE1"/>
    <w:rsid w:val="00707D1B"/>
    <w:rsid w:val="00710C23"/>
    <w:rsid w:val="007118F6"/>
    <w:rsid w:val="0071196B"/>
    <w:rsid w:val="00715141"/>
    <w:rsid w:val="00722778"/>
    <w:rsid w:val="007261D2"/>
    <w:rsid w:val="007262AF"/>
    <w:rsid w:val="00726E78"/>
    <w:rsid w:val="007279A6"/>
    <w:rsid w:val="007312F5"/>
    <w:rsid w:val="00732132"/>
    <w:rsid w:val="007333D2"/>
    <w:rsid w:val="0073376B"/>
    <w:rsid w:val="0073471B"/>
    <w:rsid w:val="00735B7E"/>
    <w:rsid w:val="00736DDB"/>
    <w:rsid w:val="007374A0"/>
    <w:rsid w:val="00740440"/>
    <w:rsid w:val="00740F6C"/>
    <w:rsid w:val="00741060"/>
    <w:rsid w:val="00741126"/>
    <w:rsid w:val="007447EF"/>
    <w:rsid w:val="007453F4"/>
    <w:rsid w:val="00745802"/>
    <w:rsid w:val="0074662F"/>
    <w:rsid w:val="00746677"/>
    <w:rsid w:val="00746E6B"/>
    <w:rsid w:val="007479AF"/>
    <w:rsid w:val="0075227F"/>
    <w:rsid w:val="00752308"/>
    <w:rsid w:val="00752768"/>
    <w:rsid w:val="00752FFE"/>
    <w:rsid w:val="007541C0"/>
    <w:rsid w:val="00754905"/>
    <w:rsid w:val="00755602"/>
    <w:rsid w:val="00755943"/>
    <w:rsid w:val="007575AE"/>
    <w:rsid w:val="00757753"/>
    <w:rsid w:val="00760049"/>
    <w:rsid w:val="00761566"/>
    <w:rsid w:val="00761A52"/>
    <w:rsid w:val="00761E70"/>
    <w:rsid w:val="00762B51"/>
    <w:rsid w:val="00762D40"/>
    <w:rsid w:val="00763187"/>
    <w:rsid w:val="00764C3B"/>
    <w:rsid w:val="007656C7"/>
    <w:rsid w:val="00765A64"/>
    <w:rsid w:val="00765CF9"/>
    <w:rsid w:val="00766E5A"/>
    <w:rsid w:val="0077016B"/>
    <w:rsid w:val="007701BD"/>
    <w:rsid w:val="00771B02"/>
    <w:rsid w:val="00771C52"/>
    <w:rsid w:val="00772382"/>
    <w:rsid w:val="007728A4"/>
    <w:rsid w:val="00772D4A"/>
    <w:rsid w:val="00772D9D"/>
    <w:rsid w:val="00773847"/>
    <w:rsid w:val="0077430C"/>
    <w:rsid w:val="00774459"/>
    <w:rsid w:val="007745E2"/>
    <w:rsid w:val="0077648B"/>
    <w:rsid w:val="0077699C"/>
    <w:rsid w:val="00776F56"/>
    <w:rsid w:val="00777E58"/>
    <w:rsid w:val="0078122B"/>
    <w:rsid w:val="007838B2"/>
    <w:rsid w:val="00783EDE"/>
    <w:rsid w:val="00785148"/>
    <w:rsid w:val="007853F0"/>
    <w:rsid w:val="00785745"/>
    <w:rsid w:val="00785F12"/>
    <w:rsid w:val="00786DE1"/>
    <w:rsid w:val="00787FCD"/>
    <w:rsid w:val="00790163"/>
    <w:rsid w:val="0079072C"/>
    <w:rsid w:val="0079092E"/>
    <w:rsid w:val="00790DE6"/>
    <w:rsid w:val="007916B4"/>
    <w:rsid w:val="007929F5"/>
    <w:rsid w:val="0079384F"/>
    <w:rsid w:val="0079443D"/>
    <w:rsid w:val="00796077"/>
    <w:rsid w:val="0079681B"/>
    <w:rsid w:val="00796A4E"/>
    <w:rsid w:val="007973DD"/>
    <w:rsid w:val="007A187D"/>
    <w:rsid w:val="007A3D9C"/>
    <w:rsid w:val="007A433D"/>
    <w:rsid w:val="007A4B46"/>
    <w:rsid w:val="007A63E7"/>
    <w:rsid w:val="007A7251"/>
    <w:rsid w:val="007B0399"/>
    <w:rsid w:val="007B35C6"/>
    <w:rsid w:val="007B3D99"/>
    <w:rsid w:val="007B48D1"/>
    <w:rsid w:val="007B50A6"/>
    <w:rsid w:val="007B559F"/>
    <w:rsid w:val="007B55D4"/>
    <w:rsid w:val="007B6686"/>
    <w:rsid w:val="007B7339"/>
    <w:rsid w:val="007C1504"/>
    <w:rsid w:val="007C48C8"/>
    <w:rsid w:val="007C601D"/>
    <w:rsid w:val="007C642C"/>
    <w:rsid w:val="007D0328"/>
    <w:rsid w:val="007D3EE1"/>
    <w:rsid w:val="007D5064"/>
    <w:rsid w:val="007D623A"/>
    <w:rsid w:val="007D7276"/>
    <w:rsid w:val="007D7975"/>
    <w:rsid w:val="007D79C2"/>
    <w:rsid w:val="007E22CB"/>
    <w:rsid w:val="007E2DE7"/>
    <w:rsid w:val="007E57B2"/>
    <w:rsid w:val="007E5EC5"/>
    <w:rsid w:val="007E6974"/>
    <w:rsid w:val="007F09B0"/>
    <w:rsid w:val="007F374F"/>
    <w:rsid w:val="007F5C06"/>
    <w:rsid w:val="007F6078"/>
    <w:rsid w:val="007F63C3"/>
    <w:rsid w:val="007F7E74"/>
    <w:rsid w:val="00800677"/>
    <w:rsid w:val="0080195A"/>
    <w:rsid w:val="00802D97"/>
    <w:rsid w:val="00803784"/>
    <w:rsid w:val="008056E9"/>
    <w:rsid w:val="008077CD"/>
    <w:rsid w:val="00807E07"/>
    <w:rsid w:val="008116A6"/>
    <w:rsid w:val="00812C2C"/>
    <w:rsid w:val="00812E46"/>
    <w:rsid w:val="00813A8D"/>
    <w:rsid w:val="00813F0E"/>
    <w:rsid w:val="008142E1"/>
    <w:rsid w:val="00814F2C"/>
    <w:rsid w:val="00816999"/>
    <w:rsid w:val="0081751E"/>
    <w:rsid w:val="00820EF5"/>
    <w:rsid w:val="0082116A"/>
    <w:rsid w:val="00822F34"/>
    <w:rsid w:val="00823C43"/>
    <w:rsid w:val="00824E67"/>
    <w:rsid w:val="0082509D"/>
    <w:rsid w:val="00825274"/>
    <w:rsid w:val="0082609C"/>
    <w:rsid w:val="0082644C"/>
    <w:rsid w:val="00826B26"/>
    <w:rsid w:val="00827614"/>
    <w:rsid w:val="00827D08"/>
    <w:rsid w:val="0083145D"/>
    <w:rsid w:val="00831BFA"/>
    <w:rsid w:val="008327C1"/>
    <w:rsid w:val="008335D6"/>
    <w:rsid w:val="00833A18"/>
    <w:rsid w:val="008349BA"/>
    <w:rsid w:val="00835357"/>
    <w:rsid w:val="008353B4"/>
    <w:rsid w:val="00835F42"/>
    <w:rsid w:val="008368C6"/>
    <w:rsid w:val="00837768"/>
    <w:rsid w:val="00840A24"/>
    <w:rsid w:val="00841FD7"/>
    <w:rsid w:val="0084491A"/>
    <w:rsid w:val="00847244"/>
    <w:rsid w:val="00851A46"/>
    <w:rsid w:val="00851ADA"/>
    <w:rsid w:val="008535D3"/>
    <w:rsid w:val="00854258"/>
    <w:rsid w:val="00854A00"/>
    <w:rsid w:val="00854BAF"/>
    <w:rsid w:val="008579BB"/>
    <w:rsid w:val="008609D6"/>
    <w:rsid w:val="00860B26"/>
    <w:rsid w:val="0086328E"/>
    <w:rsid w:val="008640EC"/>
    <w:rsid w:val="00864811"/>
    <w:rsid w:val="00865371"/>
    <w:rsid w:val="00870E39"/>
    <w:rsid w:val="00871591"/>
    <w:rsid w:val="00872F6C"/>
    <w:rsid w:val="00873E69"/>
    <w:rsid w:val="00875533"/>
    <w:rsid w:val="0087607A"/>
    <w:rsid w:val="008766AE"/>
    <w:rsid w:val="00876BE8"/>
    <w:rsid w:val="0087730A"/>
    <w:rsid w:val="00880006"/>
    <w:rsid w:val="00880A95"/>
    <w:rsid w:val="0088107F"/>
    <w:rsid w:val="00881159"/>
    <w:rsid w:val="008817E0"/>
    <w:rsid w:val="00881B38"/>
    <w:rsid w:val="008848B9"/>
    <w:rsid w:val="0088667C"/>
    <w:rsid w:val="00887DB5"/>
    <w:rsid w:val="00890141"/>
    <w:rsid w:val="00890E98"/>
    <w:rsid w:val="008914DE"/>
    <w:rsid w:val="008922AE"/>
    <w:rsid w:val="008928D9"/>
    <w:rsid w:val="00893AE2"/>
    <w:rsid w:val="00893E60"/>
    <w:rsid w:val="0089596D"/>
    <w:rsid w:val="0089662B"/>
    <w:rsid w:val="008A17A5"/>
    <w:rsid w:val="008A2EB9"/>
    <w:rsid w:val="008A3C13"/>
    <w:rsid w:val="008A760F"/>
    <w:rsid w:val="008A79E5"/>
    <w:rsid w:val="008B18ED"/>
    <w:rsid w:val="008B1AC1"/>
    <w:rsid w:val="008B234A"/>
    <w:rsid w:val="008B2845"/>
    <w:rsid w:val="008B2AB4"/>
    <w:rsid w:val="008B2BCF"/>
    <w:rsid w:val="008B3ECB"/>
    <w:rsid w:val="008B4215"/>
    <w:rsid w:val="008B4644"/>
    <w:rsid w:val="008B4920"/>
    <w:rsid w:val="008B4CCC"/>
    <w:rsid w:val="008B4F6D"/>
    <w:rsid w:val="008B60B1"/>
    <w:rsid w:val="008C2343"/>
    <w:rsid w:val="008C2889"/>
    <w:rsid w:val="008C3FF6"/>
    <w:rsid w:val="008C4B5D"/>
    <w:rsid w:val="008C4BBC"/>
    <w:rsid w:val="008C7BC0"/>
    <w:rsid w:val="008C7C2A"/>
    <w:rsid w:val="008D0363"/>
    <w:rsid w:val="008D0DBF"/>
    <w:rsid w:val="008D0E6E"/>
    <w:rsid w:val="008D1A0E"/>
    <w:rsid w:val="008D21C3"/>
    <w:rsid w:val="008D37CE"/>
    <w:rsid w:val="008D4E6C"/>
    <w:rsid w:val="008D5BCA"/>
    <w:rsid w:val="008D6018"/>
    <w:rsid w:val="008D6258"/>
    <w:rsid w:val="008E00DF"/>
    <w:rsid w:val="008E036B"/>
    <w:rsid w:val="008E03F1"/>
    <w:rsid w:val="008E0A3D"/>
    <w:rsid w:val="008E0E45"/>
    <w:rsid w:val="008E1412"/>
    <w:rsid w:val="008E1F9A"/>
    <w:rsid w:val="008E3446"/>
    <w:rsid w:val="008E3526"/>
    <w:rsid w:val="008E6C19"/>
    <w:rsid w:val="008F0E35"/>
    <w:rsid w:val="008F2318"/>
    <w:rsid w:val="008F326D"/>
    <w:rsid w:val="008F5B57"/>
    <w:rsid w:val="008F692E"/>
    <w:rsid w:val="008F6B5B"/>
    <w:rsid w:val="00900201"/>
    <w:rsid w:val="00901DBE"/>
    <w:rsid w:val="0090237A"/>
    <w:rsid w:val="00902B18"/>
    <w:rsid w:val="00903464"/>
    <w:rsid w:val="009054CE"/>
    <w:rsid w:val="009055C5"/>
    <w:rsid w:val="00905732"/>
    <w:rsid w:val="00906E98"/>
    <w:rsid w:val="00907ED9"/>
    <w:rsid w:val="00910449"/>
    <w:rsid w:val="00910885"/>
    <w:rsid w:val="00910E9B"/>
    <w:rsid w:val="00912462"/>
    <w:rsid w:val="009125FA"/>
    <w:rsid w:val="00916848"/>
    <w:rsid w:val="009172EC"/>
    <w:rsid w:val="00917A51"/>
    <w:rsid w:val="00917BC3"/>
    <w:rsid w:val="00920940"/>
    <w:rsid w:val="00920A0F"/>
    <w:rsid w:val="00920BF2"/>
    <w:rsid w:val="00921E2C"/>
    <w:rsid w:val="00922E5D"/>
    <w:rsid w:val="0092509C"/>
    <w:rsid w:val="00926624"/>
    <w:rsid w:val="00927683"/>
    <w:rsid w:val="00932F25"/>
    <w:rsid w:val="009350F2"/>
    <w:rsid w:val="009360E3"/>
    <w:rsid w:val="009361D4"/>
    <w:rsid w:val="00937D05"/>
    <w:rsid w:val="00942C95"/>
    <w:rsid w:val="00943016"/>
    <w:rsid w:val="009472F8"/>
    <w:rsid w:val="00952F37"/>
    <w:rsid w:val="0095459A"/>
    <w:rsid w:val="00954E5E"/>
    <w:rsid w:val="00955072"/>
    <w:rsid w:val="00955367"/>
    <w:rsid w:val="009563F6"/>
    <w:rsid w:val="009577FC"/>
    <w:rsid w:val="00962329"/>
    <w:rsid w:val="009644BC"/>
    <w:rsid w:val="00964764"/>
    <w:rsid w:val="00965395"/>
    <w:rsid w:val="009659FE"/>
    <w:rsid w:val="00966592"/>
    <w:rsid w:val="00967CBD"/>
    <w:rsid w:val="0097006F"/>
    <w:rsid w:val="00972847"/>
    <w:rsid w:val="009736BA"/>
    <w:rsid w:val="0097389A"/>
    <w:rsid w:val="0097447B"/>
    <w:rsid w:val="009755A1"/>
    <w:rsid w:val="0097752E"/>
    <w:rsid w:val="0098168D"/>
    <w:rsid w:val="00982AC8"/>
    <w:rsid w:val="00982AE3"/>
    <w:rsid w:val="00982D21"/>
    <w:rsid w:val="009840FC"/>
    <w:rsid w:val="0098468E"/>
    <w:rsid w:val="00984A95"/>
    <w:rsid w:val="009853FC"/>
    <w:rsid w:val="009863A2"/>
    <w:rsid w:val="009866C3"/>
    <w:rsid w:val="00986FA8"/>
    <w:rsid w:val="0099050E"/>
    <w:rsid w:val="00991B91"/>
    <w:rsid w:val="009930BE"/>
    <w:rsid w:val="009936A6"/>
    <w:rsid w:val="00993AA4"/>
    <w:rsid w:val="00994097"/>
    <w:rsid w:val="00995F43"/>
    <w:rsid w:val="009A034A"/>
    <w:rsid w:val="009A21C6"/>
    <w:rsid w:val="009A24F1"/>
    <w:rsid w:val="009A6C51"/>
    <w:rsid w:val="009A6F46"/>
    <w:rsid w:val="009A7938"/>
    <w:rsid w:val="009B03CC"/>
    <w:rsid w:val="009B0820"/>
    <w:rsid w:val="009B1009"/>
    <w:rsid w:val="009B2875"/>
    <w:rsid w:val="009B3219"/>
    <w:rsid w:val="009B3572"/>
    <w:rsid w:val="009B3BC1"/>
    <w:rsid w:val="009B4697"/>
    <w:rsid w:val="009B4CAC"/>
    <w:rsid w:val="009B5280"/>
    <w:rsid w:val="009B79AD"/>
    <w:rsid w:val="009C175A"/>
    <w:rsid w:val="009C3054"/>
    <w:rsid w:val="009C3951"/>
    <w:rsid w:val="009D02FB"/>
    <w:rsid w:val="009D0C7E"/>
    <w:rsid w:val="009D120A"/>
    <w:rsid w:val="009D12BC"/>
    <w:rsid w:val="009D2755"/>
    <w:rsid w:val="009D42F9"/>
    <w:rsid w:val="009D570A"/>
    <w:rsid w:val="009D5CF2"/>
    <w:rsid w:val="009D6BD0"/>
    <w:rsid w:val="009D7804"/>
    <w:rsid w:val="009E0354"/>
    <w:rsid w:val="009E0BC7"/>
    <w:rsid w:val="009E1D9C"/>
    <w:rsid w:val="009E2EB7"/>
    <w:rsid w:val="009E3B27"/>
    <w:rsid w:val="009E401B"/>
    <w:rsid w:val="009E4793"/>
    <w:rsid w:val="009E5AC4"/>
    <w:rsid w:val="009E60D9"/>
    <w:rsid w:val="009E6586"/>
    <w:rsid w:val="009F04C2"/>
    <w:rsid w:val="009F0DE4"/>
    <w:rsid w:val="009F20B5"/>
    <w:rsid w:val="009F2718"/>
    <w:rsid w:val="009F2ECE"/>
    <w:rsid w:val="009F61CE"/>
    <w:rsid w:val="009F63BA"/>
    <w:rsid w:val="009F698F"/>
    <w:rsid w:val="009F69C2"/>
    <w:rsid w:val="009F79A7"/>
    <w:rsid w:val="00A00574"/>
    <w:rsid w:val="00A00905"/>
    <w:rsid w:val="00A022A0"/>
    <w:rsid w:val="00A0259D"/>
    <w:rsid w:val="00A02966"/>
    <w:rsid w:val="00A033E0"/>
    <w:rsid w:val="00A03707"/>
    <w:rsid w:val="00A04A2C"/>
    <w:rsid w:val="00A10578"/>
    <w:rsid w:val="00A10F40"/>
    <w:rsid w:val="00A12D05"/>
    <w:rsid w:val="00A138B6"/>
    <w:rsid w:val="00A16F10"/>
    <w:rsid w:val="00A178E6"/>
    <w:rsid w:val="00A179D1"/>
    <w:rsid w:val="00A207C3"/>
    <w:rsid w:val="00A21DCE"/>
    <w:rsid w:val="00A2209E"/>
    <w:rsid w:val="00A22841"/>
    <w:rsid w:val="00A23880"/>
    <w:rsid w:val="00A23B9A"/>
    <w:rsid w:val="00A2460A"/>
    <w:rsid w:val="00A25813"/>
    <w:rsid w:val="00A258EA"/>
    <w:rsid w:val="00A269FB"/>
    <w:rsid w:val="00A27E51"/>
    <w:rsid w:val="00A343BD"/>
    <w:rsid w:val="00A346D6"/>
    <w:rsid w:val="00A352AD"/>
    <w:rsid w:val="00A37969"/>
    <w:rsid w:val="00A410F3"/>
    <w:rsid w:val="00A41D2D"/>
    <w:rsid w:val="00A41D7B"/>
    <w:rsid w:val="00A4430D"/>
    <w:rsid w:val="00A44D9D"/>
    <w:rsid w:val="00A4653A"/>
    <w:rsid w:val="00A466CE"/>
    <w:rsid w:val="00A46C83"/>
    <w:rsid w:val="00A47AD2"/>
    <w:rsid w:val="00A50A07"/>
    <w:rsid w:val="00A527E2"/>
    <w:rsid w:val="00A52E05"/>
    <w:rsid w:val="00A53A45"/>
    <w:rsid w:val="00A5589E"/>
    <w:rsid w:val="00A55A58"/>
    <w:rsid w:val="00A55D90"/>
    <w:rsid w:val="00A55E83"/>
    <w:rsid w:val="00A56A2F"/>
    <w:rsid w:val="00A57174"/>
    <w:rsid w:val="00A57DC2"/>
    <w:rsid w:val="00A628F5"/>
    <w:rsid w:val="00A6315C"/>
    <w:rsid w:val="00A631E8"/>
    <w:rsid w:val="00A63459"/>
    <w:rsid w:val="00A65132"/>
    <w:rsid w:val="00A67969"/>
    <w:rsid w:val="00A7022A"/>
    <w:rsid w:val="00A708D4"/>
    <w:rsid w:val="00A709C7"/>
    <w:rsid w:val="00A722E4"/>
    <w:rsid w:val="00A74252"/>
    <w:rsid w:val="00A7717B"/>
    <w:rsid w:val="00A77352"/>
    <w:rsid w:val="00A77B64"/>
    <w:rsid w:val="00A8003E"/>
    <w:rsid w:val="00A81184"/>
    <w:rsid w:val="00A82921"/>
    <w:rsid w:val="00A90372"/>
    <w:rsid w:val="00A9094D"/>
    <w:rsid w:val="00A92032"/>
    <w:rsid w:val="00A9210F"/>
    <w:rsid w:val="00A9298B"/>
    <w:rsid w:val="00A93E81"/>
    <w:rsid w:val="00A93EFD"/>
    <w:rsid w:val="00AA0058"/>
    <w:rsid w:val="00AA1BCE"/>
    <w:rsid w:val="00AA309D"/>
    <w:rsid w:val="00AA3485"/>
    <w:rsid w:val="00AA47A8"/>
    <w:rsid w:val="00AA4857"/>
    <w:rsid w:val="00AA5477"/>
    <w:rsid w:val="00AB1175"/>
    <w:rsid w:val="00AB1914"/>
    <w:rsid w:val="00AB1E9E"/>
    <w:rsid w:val="00AC0345"/>
    <w:rsid w:val="00AC1291"/>
    <w:rsid w:val="00AC13AC"/>
    <w:rsid w:val="00AC2417"/>
    <w:rsid w:val="00AC3250"/>
    <w:rsid w:val="00AC3BC7"/>
    <w:rsid w:val="00AC627E"/>
    <w:rsid w:val="00AC6912"/>
    <w:rsid w:val="00AD0ECB"/>
    <w:rsid w:val="00AD1955"/>
    <w:rsid w:val="00AD2306"/>
    <w:rsid w:val="00AD2983"/>
    <w:rsid w:val="00AD32F9"/>
    <w:rsid w:val="00AD3899"/>
    <w:rsid w:val="00AD64BA"/>
    <w:rsid w:val="00AD65FE"/>
    <w:rsid w:val="00AE06F9"/>
    <w:rsid w:val="00AE1A32"/>
    <w:rsid w:val="00AE354B"/>
    <w:rsid w:val="00AE4E14"/>
    <w:rsid w:val="00AE5E45"/>
    <w:rsid w:val="00AE627B"/>
    <w:rsid w:val="00AE766C"/>
    <w:rsid w:val="00AF05B2"/>
    <w:rsid w:val="00AF49AF"/>
    <w:rsid w:val="00AF543E"/>
    <w:rsid w:val="00AF5AB5"/>
    <w:rsid w:val="00AF7C7E"/>
    <w:rsid w:val="00AF7E2E"/>
    <w:rsid w:val="00B00EA4"/>
    <w:rsid w:val="00B03F05"/>
    <w:rsid w:val="00B03F89"/>
    <w:rsid w:val="00B043FF"/>
    <w:rsid w:val="00B04799"/>
    <w:rsid w:val="00B0512B"/>
    <w:rsid w:val="00B0623C"/>
    <w:rsid w:val="00B07ECB"/>
    <w:rsid w:val="00B12938"/>
    <w:rsid w:val="00B15327"/>
    <w:rsid w:val="00B1542D"/>
    <w:rsid w:val="00B15FE3"/>
    <w:rsid w:val="00B1608D"/>
    <w:rsid w:val="00B170CF"/>
    <w:rsid w:val="00B17383"/>
    <w:rsid w:val="00B201D6"/>
    <w:rsid w:val="00B20ACD"/>
    <w:rsid w:val="00B22BDD"/>
    <w:rsid w:val="00B23642"/>
    <w:rsid w:val="00B24033"/>
    <w:rsid w:val="00B241FB"/>
    <w:rsid w:val="00B25DCE"/>
    <w:rsid w:val="00B25E6C"/>
    <w:rsid w:val="00B274E2"/>
    <w:rsid w:val="00B3248D"/>
    <w:rsid w:val="00B326A7"/>
    <w:rsid w:val="00B330CE"/>
    <w:rsid w:val="00B33CFF"/>
    <w:rsid w:val="00B41861"/>
    <w:rsid w:val="00B418C2"/>
    <w:rsid w:val="00B41BD6"/>
    <w:rsid w:val="00B428BA"/>
    <w:rsid w:val="00B42F3C"/>
    <w:rsid w:val="00B431EF"/>
    <w:rsid w:val="00B43DFD"/>
    <w:rsid w:val="00B45075"/>
    <w:rsid w:val="00B4604A"/>
    <w:rsid w:val="00B50C0D"/>
    <w:rsid w:val="00B513EE"/>
    <w:rsid w:val="00B5270B"/>
    <w:rsid w:val="00B52D10"/>
    <w:rsid w:val="00B55DD0"/>
    <w:rsid w:val="00B56AAD"/>
    <w:rsid w:val="00B6092A"/>
    <w:rsid w:val="00B6116B"/>
    <w:rsid w:val="00B62131"/>
    <w:rsid w:val="00B62872"/>
    <w:rsid w:val="00B62C56"/>
    <w:rsid w:val="00B662F7"/>
    <w:rsid w:val="00B7073B"/>
    <w:rsid w:val="00B70DB5"/>
    <w:rsid w:val="00B70E6B"/>
    <w:rsid w:val="00B715CE"/>
    <w:rsid w:val="00B7253A"/>
    <w:rsid w:val="00B72683"/>
    <w:rsid w:val="00B728F8"/>
    <w:rsid w:val="00B73A73"/>
    <w:rsid w:val="00B74DD6"/>
    <w:rsid w:val="00B75AC9"/>
    <w:rsid w:val="00B76E8F"/>
    <w:rsid w:val="00B76F1F"/>
    <w:rsid w:val="00B77315"/>
    <w:rsid w:val="00B803C5"/>
    <w:rsid w:val="00B80931"/>
    <w:rsid w:val="00B81FAD"/>
    <w:rsid w:val="00B835C9"/>
    <w:rsid w:val="00B837F7"/>
    <w:rsid w:val="00B8798C"/>
    <w:rsid w:val="00B91F9A"/>
    <w:rsid w:val="00B93233"/>
    <w:rsid w:val="00B94C18"/>
    <w:rsid w:val="00B95792"/>
    <w:rsid w:val="00B97013"/>
    <w:rsid w:val="00BA1C76"/>
    <w:rsid w:val="00BA1F3A"/>
    <w:rsid w:val="00BA2164"/>
    <w:rsid w:val="00BA58DE"/>
    <w:rsid w:val="00BA5E73"/>
    <w:rsid w:val="00BA5FD5"/>
    <w:rsid w:val="00BA650A"/>
    <w:rsid w:val="00BA7226"/>
    <w:rsid w:val="00BA7BC8"/>
    <w:rsid w:val="00BB1141"/>
    <w:rsid w:val="00BB168A"/>
    <w:rsid w:val="00BB24F9"/>
    <w:rsid w:val="00BB459E"/>
    <w:rsid w:val="00BB572A"/>
    <w:rsid w:val="00BB5A5A"/>
    <w:rsid w:val="00BC0397"/>
    <w:rsid w:val="00BC1AAC"/>
    <w:rsid w:val="00BC1D64"/>
    <w:rsid w:val="00BC2FFD"/>
    <w:rsid w:val="00BC37F7"/>
    <w:rsid w:val="00BC3F7D"/>
    <w:rsid w:val="00BC4882"/>
    <w:rsid w:val="00BC4A0A"/>
    <w:rsid w:val="00BC4A2C"/>
    <w:rsid w:val="00BD037D"/>
    <w:rsid w:val="00BD2374"/>
    <w:rsid w:val="00BD3653"/>
    <w:rsid w:val="00BD3D69"/>
    <w:rsid w:val="00BD45DC"/>
    <w:rsid w:val="00BD5080"/>
    <w:rsid w:val="00BD7729"/>
    <w:rsid w:val="00BE4901"/>
    <w:rsid w:val="00BE5068"/>
    <w:rsid w:val="00BE580D"/>
    <w:rsid w:val="00BE6929"/>
    <w:rsid w:val="00BE6D1E"/>
    <w:rsid w:val="00BF0CDA"/>
    <w:rsid w:val="00BF10C1"/>
    <w:rsid w:val="00BF193A"/>
    <w:rsid w:val="00BF3686"/>
    <w:rsid w:val="00BF792D"/>
    <w:rsid w:val="00C01429"/>
    <w:rsid w:val="00C05BB0"/>
    <w:rsid w:val="00C062EA"/>
    <w:rsid w:val="00C106C3"/>
    <w:rsid w:val="00C10847"/>
    <w:rsid w:val="00C10884"/>
    <w:rsid w:val="00C11C80"/>
    <w:rsid w:val="00C121C2"/>
    <w:rsid w:val="00C12969"/>
    <w:rsid w:val="00C12BE3"/>
    <w:rsid w:val="00C1311E"/>
    <w:rsid w:val="00C13158"/>
    <w:rsid w:val="00C137D0"/>
    <w:rsid w:val="00C13BE8"/>
    <w:rsid w:val="00C13C0A"/>
    <w:rsid w:val="00C14C3B"/>
    <w:rsid w:val="00C14F68"/>
    <w:rsid w:val="00C14F6B"/>
    <w:rsid w:val="00C154CA"/>
    <w:rsid w:val="00C2204E"/>
    <w:rsid w:val="00C22977"/>
    <w:rsid w:val="00C22D32"/>
    <w:rsid w:val="00C22E1C"/>
    <w:rsid w:val="00C23AEF"/>
    <w:rsid w:val="00C23F93"/>
    <w:rsid w:val="00C25861"/>
    <w:rsid w:val="00C269D6"/>
    <w:rsid w:val="00C3086F"/>
    <w:rsid w:val="00C322F6"/>
    <w:rsid w:val="00C335E1"/>
    <w:rsid w:val="00C34749"/>
    <w:rsid w:val="00C406EE"/>
    <w:rsid w:val="00C4100C"/>
    <w:rsid w:val="00C425E8"/>
    <w:rsid w:val="00C432E7"/>
    <w:rsid w:val="00C43534"/>
    <w:rsid w:val="00C43ABE"/>
    <w:rsid w:val="00C43E50"/>
    <w:rsid w:val="00C44CCA"/>
    <w:rsid w:val="00C459F5"/>
    <w:rsid w:val="00C45D02"/>
    <w:rsid w:val="00C46CF3"/>
    <w:rsid w:val="00C47235"/>
    <w:rsid w:val="00C474D4"/>
    <w:rsid w:val="00C50B25"/>
    <w:rsid w:val="00C51563"/>
    <w:rsid w:val="00C5274C"/>
    <w:rsid w:val="00C530EF"/>
    <w:rsid w:val="00C54238"/>
    <w:rsid w:val="00C54679"/>
    <w:rsid w:val="00C57E5F"/>
    <w:rsid w:val="00C610F0"/>
    <w:rsid w:val="00C61346"/>
    <w:rsid w:val="00C61AAA"/>
    <w:rsid w:val="00C623D3"/>
    <w:rsid w:val="00C627AB"/>
    <w:rsid w:val="00C62BC3"/>
    <w:rsid w:val="00C638C2"/>
    <w:rsid w:val="00C644D1"/>
    <w:rsid w:val="00C6480F"/>
    <w:rsid w:val="00C6665C"/>
    <w:rsid w:val="00C66CC8"/>
    <w:rsid w:val="00C70553"/>
    <w:rsid w:val="00C70B32"/>
    <w:rsid w:val="00C732F9"/>
    <w:rsid w:val="00C742AD"/>
    <w:rsid w:val="00C7494B"/>
    <w:rsid w:val="00C74975"/>
    <w:rsid w:val="00C74F9F"/>
    <w:rsid w:val="00C76122"/>
    <w:rsid w:val="00C77939"/>
    <w:rsid w:val="00C8280F"/>
    <w:rsid w:val="00C82A4E"/>
    <w:rsid w:val="00C82B03"/>
    <w:rsid w:val="00C83B9A"/>
    <w:rsid w:val="00C84104"/>
    <w:rsid w:val="00C84C31"/>
    <w:rsid w:val="00C85800"/>
    <w:rsid w:val="00C862BC"/>
    <w:rsid w:val="00C87783"/>
    <w:rsid w:val="00C900EC"/>
    <w:rsid w:val="00C90ABE"/>
    <w:rsid w:val="00C912B0"/>
    <w:rsid w:val="00C94954"/>
    <w:rsid w:val="00C94B4B"/>
    <w:rsid w:val="00C96A18"/>
    <w:rsid w:val="00C96F7D"/>
    <w:rsid w:val="00CA0290"/>
    <w:rsid w:val="00CA071F"/>
    <w:rsid w:val="00CA185E"/>
    <w:rsid w:val="00CA2E48"/>
    <w:rsid w:val="00CA36F1"/>
    <w:rsid w:val="00CA50C2"/>
    <w:rsid w:val="00CA63A1"/>
    <w:rsid w:val="00CA6DA9"/>
    <w:rsid w:val="00CA762B"/>
    <w:rsid w:val="00CB02FE"/>
    <w:rsid w:val="00CB0BFA"/>
    <w:rsid w:val="00CB14F5"/>
    <w:rsid w:val="00CB2AD8"/>
    <w:rsid w:val="00CB3CF5"/>
    <w:rsid w:val="00CB59CA"/>
    <w:rsid w:val="00CB6887"/>
    <w:rsid w:val="00CB70C7"/>
    <w:rsid w:val="00CB7A04"/>
    <w:rsid w:val="00CC12AD"/>
    <w:rsid w:val="00CC243D"/>
    <w:rsid w:val="00CC29EA"/>
    <w:rsid w:val="00CC35C4"/>
    <w:rsid w:val="00CC4BA5"/>
    <w:rsid w:val="00CC5626"/>
    <w:rsid w:val="00CC7B36"/>
    <w:rsid w:val="00CD115E"/>
    <w:rsid w:val="00CD15FA"/>
    <w:rsid w:val="00CD268B"/>
    <w:rsid w:val="00CD39B4"/>
    <w:rsid w:val="00CD3EDD"/>
    <w:rsid w:val="00CD42C9"/>
    <w:rsid w:val="00CD5D62"/>
    <w:rsid w:val="00CD7112"/>
    <w:rsid w:val="00CD7AF8"/>
    <w:rsid w:val="00CD7EF8"/>
    <w:rsid w:val="00CE0253"/>
    <w:rsid w:val="00CE0303"/>
    <w:rsid w:val="00CE17AD"/>
    <w:rsid w:val="00CE335D"/>
    <w:rsid w:val="00CE3B73"/>
    <w:rsid w:val="00CE3CE5"/>
    <w:rsid w:val="00CE44A2"/>
    <w:rsid w:val="00CE4641"/>
    <w:rsid w:val="00CE59FE"/>
    <w:rsid w:val="00CE63C3"/>
    <w:rsid w:val="00CF39C9"/>
    <w:rsid w:val="00CF4030"/>
    <w:rsid w:val="00CF6BEE"/>
    <w:rsid w:val="00D014BC"/>
    <w:rsid w:val="00D03F6B"/>
    <w:rsid w:val="00D04AA8"/>
    <w:rsid w:val="00D05D14"/>
    <w:rsid w:val="00D07021"/>
    <w:rsid w:val="00D101A7"/>
    <w:rsid w:val="00D103AB"/>
    <w:rsid w:val="00D1510F"/>
    <w:rsid w:val="00D15E7C"/>
    <w:rsid w:val="00D16076"/>
    <w:rsid w:val="00D175D1"/>
    <w:rsid w:val="00D20623"/>
    <w:rsid w:val="00D20C01"/>
    <w:rsid w:val="00D215FA"/>
    <w:rsid w:val="00D2186B"/>
    <w:rsid w:val="00D22569"/>
    <w:rsid w:val="00D228D7"/>
    <w:rsid w:val="00D22B8C"/>
    <w:rsid w:val="00D234FF"/>
    <w:rsid w:val="00D2402B"/>
    <w:rsid w:val="00D2514F"/>
    <w:rsid w:val="00D26512"/>
    <w:rsid w:val="00D30977"/>
    <w:rsid w:val="00D31079"/>
    <w:rsid w:val="00D31170"/>
    <w:rsid w:val="00D3161A"/>
    <w:rsid w:val="00D31D37"/>
    <w:rsid w:val="00D31EB4"/>
    <w:rsid w:val="00D3200A"/>
    <w:rsid w:val="00D32816"/>
    <w:rsid w:val="00D32E14"/>
    <w:rsid w:val="00D342EF"/>
    <w:rsid w:val="00D35702"/>
    <w:rsid w:val="00D35E7E"/>
    <w:rsid w:val="00D36300"/>
    <w:rsid w:val="00D367ED"/>
    <w:rsid w:val="00D36F86"/>
    <w:rsid w:val="00D37551"/>
    <w:rsid w:val="00D4033F"/>
    <w:rsid w:val="00D40AF3"/>
    <w:rsid w:val="00D41383"/>
    <w:rsid w:val="00D41714"/>
    <w:rsid w:val="00D42E7C"/>
    <w:rsid w:val="00D45981"/>
    <w:rsid w:val="00D459E6"/>
    <w:rsid w:val="00D46F87"/>
    <w:rsid w:val="00D47EE6"/>
    <w:rsid w:val="00D5076C"/>
    <w:rsid w:val="00D54BE6"/>
    <w:rsid w:val="00D55BEC"/>
    <w:rsid w:val="00D57044"/>
    <w:rsid w:val="00D57FF3"/>
    <w:rsid w:val="00D60E41"/>
    <w:rsid w:val="00D618DE"/>
    <w:rsid w:val="00D61B8D"/>
    <w:rsid w:val="00D62B0D"/>
    <w:rsid w:val="00D62DEC"/>
    <w:rsid w:val="00D63792"/>
    <w:rsid w:val="00D669A1"/>
    <w:rsid w:val="00D67385"/>
    <w:rsid w:val="00D679DE"/>
    <w:rsid w:val="00D67C06"/>
    <w:rsid w:val="00D7570E"/>
    <w:rsid w:val="00D7789D"/>
    <w:rsid w:val="00D77C6B"/>
    <w:rsid w:val="00D8137C"/>
    <w:rsid w:val="00D84A7C"/>
    <w:rsid w:val="00D84F13"/>
    <w:rsid w:val="00D86F69"/>
    <w:rsid w:val="00D9016F"/>
    <w:rsid w:val="00D90A69"/>
    <w:rsid w:val="00D90D03"/>
    <w:rsid w:val="00D90E52"/>
    <w:rsid w:val="00D90F98"/>
    <w:rsid w:val="00D912A9"/>
    <w:rsid w:val="00D92057"/>
    <w:rsid w:val="00D921E8"/>
    <w:rsid w:val="00D92993"/>
    <w:rsid w:val="00D9317E"/>
    <w:rsid w:val="00D94448"/>
    <w:rsid w:val="00D94472"/>
    <w:rsid w:val="00D9586C"/>
    <w:rsid w:val="00D974FB"/>
    <w:rsid w:val="00DA22CB"/>
    <w:rsid w:val="00DA5B54"/>
    <w:rsid w:val="00DA7EEC"/>
    <w:rsid w:val="00DB22BA"/>
    <w:rsid w:val="00DB2666"/>
    <w:rsid w:val="00DB2EF1"/>
    <w:rsid w:val="00DB4224"/>
    <w:rsid w:val="00DB59FF"/>
    <w:rsid w:val="00DB67BD"/>
    <w:rsid w:val="00DB72E1"/>
    <w:rsid w:val="00DC07F6"/>
    <w:rsid w:val="00DC0840"/>
    <w:rsid w:val="00DC1DB0"/>
    <w:rsid w:val="00DC2486"/>
    <w:rsid w:val="00DC2C94"/>
    <w:rsid w:val="00DC2E16"/>
    <w:rsid w:val="00DC34BC"/>
    <w:rsid w:val="00DC5634"/>
    <w:rsid w:val="00DC6228"/>
    <w:rsid w:val="00DD3AF0"/>
    <w:rsid w:val="00DD55C0"/>
    <w:rsid w:val="00DD5A7B"/>
    <w:rsid w:val="00DD61F4"/>
    <w:rsid w:val="00DD6333"/>
    <w:rsid w:val="00DD6400"/>
    <w:rsid w:val="00DE1325"/>
    <w:rsid w:val="00DE1EB7"/>
    <w:rsid w:val="00DE20F6"/>
    <w:rsid w:val="00DE39EA"/>
    <w:rsid w:val="00DE50CF"/>
    <w:rsid w:val="00DE664C"/>
    <w:rsid w:val="00DF2733"/>
    <w:rsid w:val="00DF3905"/>
    <w:rsid w:val="00DF39B1"/>
    <w:rsid w:val="00DF537A"/>
    <w:rsid w:val="00DF5FE3"/>
    <w:rsid w:val="00DF6B50"/>
    <w:rsid w:val="00DF7351"/>
    <w:rsid w:val="00E00258"/>
    <w:rsid w:val="00E00912"/>
    <w:rsid w:val="00E01F83"/>
    <w:rsid w:val="00E04B46"/>
    <w:rsid w:val="00E04F78"/>
    <w:rsid w:val="00E05933"/>
    <w:rsid w:val="00E0766C"/>
    <w:rsid w:val="00E07863"/>
    <w:rsid w:val="00E07919"/>
    <w:rsid w:val="00E1048D"/>
    <w:rsid w:val="00E111E4"/>
    <w:rsid w:val="00E11518"/>
    <w:rsid w:val="00E12E78"/>
    <w:rsid w:val="00E1343A"/>
    <w:rsid w:val="00E15CB0"/>
    <w:rsid w:val="00E162E1"/>
    <w:rsid w:val="00E165F4"/>
    <w:rsid w:val="00E16DA1"/>
    <w:rsid w:val="00E16F88"/>
    <w:rsid w:val="00E1785F"/>
    <w:rsid w:val="00E17B00"/>
    <w:rsid w:val="00E20499"/>
    <w:rsid w:val="00E2093C"/>
    <w:rsid w:val="00E229BA"/>
    <w:rsid w:val="00E22F22"/>
    <w:rsid w:val="00E230FC"/>
    <w:rsid w:val="00E23306"/>
    <w:rsid w:val="00E2507B"/>
    <w:rsid w:val="00E260CD"/>
    <w:rsid w:val="00E265CC"/>
    <w:rsid w:val="00E3135D"/>
    <w:rsid w:val="00E34177"/>
    <w:rsid w:val="00E34705"/>
    <w:rsid w:val="00E3530E"/>
    <w:rsid w:val="00E35FEE"/>
    <w:rsid w:val="00E37B54"/>
    <w:rsid w:val="00E37E8F"/>
    <w:rsid w:val="00E408FB"/>
    <w:rsid w:val="00E409E8"/>
    <w:rsid w:val="00E40FC3"/>
    <w:rsid w:val="00E413A2"/>
    <w:rsid w:val="00E41A97"/>
    <w:rsid w:val="00E441F3"/>
    <w:rsid w:val="00E44E97"/>
    <w:rsid w:val="00E4530A"/>
    <w:rsid w:val="00E455A0"/>
    <w:rsid w:val="00E457CB"/>
    <w:rsid w:val="00E45897"/>
    <w:rsid w:val="00E46DB6"/>
    <w:rsid w:val="00E4773A"/>
    <w:rsid w:val="00E47B78"/>
    <w:rsid w:val="00E5127B"/>
    <w:rsid w:val="00E52AE0"/>
    <w:rsid w:val="00E52DF7"/>
    <w:rsid w:val="00E53DC3"/>
    <w:rsid w:val="00E55586"/>
    <w:rsid w:val="00E56A88"/>
    <w:rsid w:val="00E57D70"/>
    <w:rsid w:val="00E6058B"/>
    <w:rsid w:val="00E62178"/>
    <w:rsid w:val="00E642C1"/>
    <w:rsid w:val="00E661E6"/>
    <w:rsid w:val="00E70033"/>
    <w:rsid w:val="00E71D25"/>
    <w:rsid w:val="00E7233A"/>
    <w:rsid w:val="00E7421D"/>
    <w:rsid w:val="00E745CE"/>
    <w:rsid w:val="00E80AA7"/>
    <w:rsid w:val="00E820EA"/>
    <w:rsid w:val="00E92090"/>
    <w:rsid w:val="00E92821"/>
    <w:rsid w:val="00E92A0D"/>
    <w:rsid w:val="00E94B6D"/>
    <w:rsid w:val="00E965BF"/>
    <w:rsid w:val="00E970C0"/>
    <w:rsid w:val="00EA0212"/>
    <w:rsid w:val="00EA0AC3"/>
    <w:rsid w:val="00EA1084"/>
    <w:rsid w:val="00EA123E"/>
    <w:rsid w:val="00EA3CEF"/>
    <w:rsid w:val="00EA3F9B"/>
    <w:rsid w:val="00EA6D40"/>
    <w:rsid w:val="00EA7553"/>
    <w:rsid w:val="00EA77D9"/>
    <w:rsid w:val="00EA7E13"/>
    <w:rsid w:val="00EA7F73"/>
    <w:rsid w:val="00EB011E"/>
    <w:rsid w:val="00EB1191"/>
    <w:rsid w:val="00EB213E"/>
    <w:rsid w:val="00EB2A8F"/>
    <w:rsid w:val="00EB3112"/>
    <w:rsid w:val="00EB3A4E"/>
    <w:rsid w:val="00EB3AA8"/>
    <w:rsid w:val="00EB55BA"/>
    <w:rsid w:val="00EB5E22"/>
    <w:rsid w:val="00EB7343"/>
    <w:rsid w:val="00EB7468"/>
    <w:rsid w:val="00EC1ABC"/>
    <w:rsid w:val="00EC26FE"/>
    <w:rsid w:val="00EC330B"/>
    <w:rsid w:val="00EC39D5"/>
    <w:rsid w:val="00EC4F71"/>
    <w:rsid w:val="00EC5F5C"/>
    <w:rsid w:val="00EC687C"/>
    <w:rsid w:val="00EC6E1A"/>
    <w:rsid w:val="00EC72D8"/>
    <w:rsid w:val="00ED0C5A"/>
    <w:rsid w:val="00ED1375"/>
    <w:rsid w:val="00ED280D"/>
    <w:rsid w:val="00ED4914"/>
    <w:rsid w:val="00ED580F"/>
    <w:rsid w:val="00ED71C6"/>
    <w:rsid w:val="00EE031B"/>
    <w:rsid w:val="00EE1CFC"/>
    <w:rsid w:val="00EE29EE"/>
    <w:rsid w:val="00EE3BA4"/>
    <w:rsid w:val="00EE3EE2"/>
    <w:rsid w:val="00EE56B7"/>
    <w:rsid w:val="00EE7AAC"/>
    <w:rsid w:val="00EE7C5C"/>
    <w:rsid w:val="00EF0851"/>
    <w:rsid w:val="00EF0E38"/>
    <w:rsid w:val="00EF2757"/>
    <w:rsid w:val="00EF31E4"/>
    <w:rsid w:val="00EF448A"/>
    <w:rsid w:val="00EF5157"/>
    <w:rsid w:val="00EF766A"/>
    <w:rsid w:val="00EF7EB8"/>
    <w:rsid w:val="00F00924"/>
    <w:rsid w:val="00F00F0F"/>
    <w:rsid w:val="00F02A9D"/>
    <w:rsid w:val="00F03E61"/>
    <w:rsid w:val="00F03F52"/>
    <w:rsid w:val="00F045C2"/>
    <w:rsid w:val="00F04D80"/>
    <w:rsid w:val="00F06281"/>
    <w:rsid w:val="00F1109F"/>
    <w:rsid w:val="00F1199B"/>
    <w:rsid w:val="00F1202B"/>
    <w:rsid w:val="00F12B0C"/>
    <w:rsid w:val="00F13855"/>
    <w:rsid w:val="00F13AA2"/>
    <w:rsid w:val="00F13BAF"/>
    <w:rsid w:val="00F14B4D"/>
    <w:rsid w:val="00F1639B"/>
    <w:rsid w:val="00F16AD1"/>
    <w:rsid w:val="00F17667"/>
    <w:rsid w:val="00F17AEF"/>
    <w:rsid w:val="00F20EF4"/>
    <w:rsid w:val="00F21ACD"/>
    <w:rsid w:val="00F21F1F"/>
    <w:rsid w:val="00F22DC4"/>
    <w:rsid w:val="00F22FED"/>
    <w:rsid w:val="00F23A62"/>
    <w:rsid w:val="00F23E62"/>
    <w:rsid w:val="00F24289"/>
    <w:rsid w:val="00F249A7"/>
    <w:rsid w:val="00F263E5"/>
    <w:rsid w:val="00F2723E"/>
    <w:rsid w:val="00F27F1B"/>
    <w:rsid w:val="00F31B95"/>
    <w:rsid w:val="00F32A83"/>
    <w:rsid w:val="00F3310E"/>
    <w:rsid w:val="00F3426D"/>
    <w:rsid w:val="00F34713"/>
    <w:rsid w:val="00F34BC2"/>
    <w:rsid w:val="00F36318"/>
    <w:rsid w:val="00F368EB"/>
    <w:rsid w:val="00F372AF"/>
    <w:rsid w:val="00F37D18"/>
    <w:rsid w:val="00F43AB7"/>
    <w:rsid w:val="00F44068"/>
    <w:rsid w:val="00F45031"/>
    <w:rsid w:val="00F4588E"/>
    <w:rsid w:val="00F4706B"/>
    <w:rsid w:val="00F47E30"/>
    <w:rsid w:val="00F500B1"/>
    <w:rsid w:val="00F5097F"/>
    <w:rsid w:val="00F542F6"/>
    <w:rsid w:val="00F562AD"/>
    <w:rsid w:val="00F57D46"/>
    <w:rsid w:val="00F606C5"/>
    <w:rsid w:val="00F64524"/>
    <w:rsid w:val="00F6636A"/>
    <w:rsid w:val="00F67AE9"/>
    <w:rsid w:val="00F67D4F"/>
    <w:rsid w:val="00F67D55"/>
    <w:rsid w:val="00F67EEA"/>
    <w:rsid w:val="00F67FC8"/>
    <w:rsid w:val="00F70817"/>
    <w:rsid w:val="00F709CC"/>
    <w:rsid w:val="00F719C7"/>
    <w:rsid w:val="00F73140"/>
    <w:rsid w:val="00F7333F"/>
    <w:rsid w:val="00F73998"/>
    <w:rsid w:val="00F76074"/>
    <w:rsid w:val="00F7674D"/>
    <w:rsid w:val="00F770D7"/>
    <w:rsid w:val="00F81FA6"/>
    <w:rsid w:val="00F832F9"/>
    <w:rsid w:val="00F83385"/>
    <w:rsid w:val="00F8394B"/>
    <w:rsid w:val="00F83971"/>
    <w:rsid w:val="00F83F58"/>
    <w:rsid w:val="00F8447F"/>
    <w:rsid w:val="00F8608A"/>
    <w:rsid w:val="00F9099F"/>
    <w:rsid w:val="00F931A5"/>
    <w:rsid w:val="00F94C9F"/>
    <w:rsid w:val="00F9506E"/>
    <w:rsid w:val="00F950E9"/>
    <w:rsid w:val="00F9538F"/>
    <w:rsid w:val="00F953BF"/>
    <w:rsid w:val="00F96257"/>
    <w:rsid w:val="00F973F8"/>
    <w:rsid w:val="00F97C54"/>
    <w:rsid w:val="00F97E04"/>
    <w:rsid w:val="00FA057F"/>
    <w:rsid w:val="00FA16DD"/>
    <w:rsid w:val="00FA4103"/>
    <w:rsid w:val="00FA446E"/>
    <w:rsid w:val="00FA475E"/>
    <w:rsid w:val="00FA4870"/>
    <w:rsid w:val="00FA4AB5"/>
    <w:rsid w:val="00FA5A42"/>
    <w:rsid w:val="00FA6DBD"/>
    <w:rsid w:val="00FA79C1"/>
    <w:rsid w:val="00FB36C0"/>
    <w:rsid w:val="00FB37F0"/>
    <w:rsid w:val="00FB4F11"/>
    <w:rsid w:val="00FB5F4A"/>
    <w:rsid w:val="00FC0133"/>
    <w:rsid w:val="00FC3BA6"/>
    <w:rsid w:val="00FC4636"/>
    <w:rsid w:val="00FC4C40"/>
    <w:rsid w:val="00FC56CC"/>
    <w:rsid w:val="00FD1065"/>
    <w:rsid w:val="00FD15B8"/>
    <w:rsid w:val="00FD2D39"/>
    <w:rsid w:val="00FD5066"/>
    <w:rsid w:val="00FD628A"/>
    <w:rsid w:val="00FD6BD9"/>
    <w:rsid w:val="00FE1D18"/>
    <w:rsid w:val="00FE2DF8"/>
    <w:rsid w:val="00FE481A"/>
    <w:rsid w:val="00FF2466"/>
    <w:rsid w:val="00FF2B55"/>
    <w:rsid w:val="00FF31C1"/>
    <w:rsid w:val="00FF33EF"/>
    <w:rsid w:val="00FF759D"/>
    <w:rsid w:val="01455DD8"/>
    <w:rsid w:val="02A97FD3"/>
    <w:rsid w:val="046441B2"/>
    <w:rsid w:val="04983EEB"/>
    <w:rsid w:val="08450A7D"/>
    <w:rsid w:val="138E41E7"/>
    <w:rsid w:val="15AA3A0F"/>
    <w:rsid w:val="16DC6BE3"/>
    <w:rsid w:val="18EC6DF6"/>
    <w:rsid w:val="19A370D2"/>
    <w:rsid w:val="1A7647E7"/>
    <w:rsid w:val="1EA2679A"/>
    <w:rsid w:val="21E56659"/>
    <w:rsid w:val="222B7112"/>
    <w:rsid w:val="230961F8"/>
    <w:rsid w:val="23EE3BC9"/>
    <w:rsid w:val="242001D4"/>
    <w:rsid w:val="25AF7B21"/>
    <w:rsid w:val="29162E87"/>
    <w:rsid w:val="2F8A274F"/>
    <w:rsid w:val="305A4DA8"/>
    <w:rsid w:val="32920A1B"/>
    <w:rsid w:val="32E3761F"/>
    <w:rsid w:val="332F4325"/>
    <w:rsid w:val="3AF91AFE"/>
    <w:rsid w:val="3C122045"/>
    <w:rsid w:val="3EB6261F"/>
    <w:rsid w:val="3F210422"/>
    <w:rsid w:val="3F874C1D"/>
    <w:rsid w:val="423323A9"/>
    <w:rsid w:val="42A62793"/>
    <w:rsid w:val="437421D9"/>
    <w:rsid w:val="45EC1F1F"/>
    <w:rsid w:val="48BD520B"/>
    <w:rsid w:val="48F923D9"/>
    <w:rsid w:val="4D3978CE"/>
    <w:rsid w:val="4DD70EDE"/>
    <w:rsid w:val="513D7BE3"/>
    <w:rsid w:val="51CA3F71"/>
    <w:rsid w:val="547C1254"/>
    <w:rsid w:val="55D83BE2"/>
    <w:rsid w:val="64A61F51"/>
    <w:rsid w:val="687740D1"/>
    <w:rsid w:val="7032026A"/>
    <w:rsid w:val="70645DE9"/>
    <w:rsid w:val="72AF08D5"/>
    <w:rsid w:val="739E6477"/>
    <w:rsid w:val="7891509C"/>
    <w:rsid w:val="789E1D37"/>
    <w:rsid w:val="7A034D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0" w:lineRule="exact"/>
    </w:pPr>
    <w:rPr>
      <w:rFonts w:ascii="Arial Narrow" w:hAnsi="Arial Narrow"/>
      <w:kern w:val="2"/>
      <w:sz w:val="24"/>
      <w:szCs w:val="24"/>
      <w:lang w:val="en-US" w:eastAsia="zh-CN" w:bidi="ar-SA"/>
    </w:rPr>
  </w:style>
  <w:style w:type="paragraph" w:styleId="2">
    <w:name w:val="heading 1"/>
    <w:basedOn w:val="1"/>
    <w:next w:val="1"/>
    <w:qFormat/>
    <w:uiPriority w:val="0"/>
    <w:pPr>
      <w:keepNext/>
      <w:keepLines/>
      <w:tabs>
        <w:tab w:val="left" w:pos="480"/>
      </w:tabs>
      <w:spacing w:before="156" w:beforeLines="50" w:after="156" w:afterLines="50"/>
      <w:outlineLvl w:val="0"/>
    </w:pPr>
    <w:rPr>
      <w:rFonts w:eastAsia="黑体"/>
      <w:bCs/>
      <w:kern w:val="44"/>
      <w:sz w:val="32"/>
      <w:szCs w:val="44"/>
    </w:rPr>
  </w:style>
  <w:style w:type="paragraph" w:styleId="3">
    <w:name w:val="heading 2"/>
    <w:basedOn w:val="1"/>
    <w:next w:val="1"/>
    <w:link w:val="39"/>
    <w:qFormat/>
    <w:uiPriority w:val="0"/>
    <w:pPr>
      <w:keepNext/>
      <w:keepLines/>
      <w:tabs>
        <w:tab w:val="left" w:pos="480"/>
      </w:tabs>
      <w:spacing w:before="156" w:beforeLines="50" w:after="156" w:afterLines="50"/>
      <w:outlineLvl w:val="1"/>
    </w:pPr>
    <w:rPr>
      <w:rFonts w:eastAsia="黑体"/>
      <w:bCs/>
      <w:sz w:val="28"/>
      <w:szCs w:val="32"/>
    </w:rPr>
  </w:style>
  <w:style w:type="paragraph" w:styleId="4">
    <w:name w:val="heading 3"/>
    <w:basedOn w:val="1"/>
    <w:next w:val="1"/>
    <w:qFormat/>
    <w:uiPriority w:val="0"/>
    <w:pPr>
      <w:keepNext/>
      <w:keepLines/>
      <w:tabs>
        <w:tab w:val="left" w:pos="480"/>
      </w:tabs>
      <w:spacing w:before="156" w:beforeLines="50" w:after="156" w:afterLines="50"/>
      <w:outlineLvl w:val="2"/>
    </w:pPr>
    <w:rPr>
      <w:rFonts w:eastAsia="黑体"/>
      <w:bCs/>
      <w:szCs w:val="32"/>
    </w:rPr>
  </w:style>
  <w:style w:type="paragraph" w:styleId="5">
    <w:name w:val="heading 4"/>
    <w:basedOn w:val="1"/>
    <w:next w:val="1"/>
    <w:qFormat/>
    <w:uiPriority w:val="0"/>
    <w:pPr>
      <w:keepNext/>
      <w:keepLines/>
      <w:tabs>
        <w:tab w:val="left" w:pos="480"/>
      </w:tabs>
      <w:outlineLvl w:val="3"/>
    </w:pPr>
    <w:rPr>
      <w:bCs/>
      <w:szCs w:val="28"/>
    </w:rPr>
  </w:style>
  <w:style w:type="character" w:default="1" w:styleId="33">
    <w:name w:val="Default Paragraph Font"/>
    <w:uiPriority w:val="0"/>
  </w:style>
  <w:style w:type="table" w:default="1" w:styleId="30">
    <w:name w:val="Normal Table"/>
    <w:semiHidden/>
    <w:uiPriority w:val="0"/>
    <w:tblPr>
      <w:tblStyle w:val="30"/>
      <w:tblCellMar>
        <w:top w:w="0" w:type="dxa"/>
        <w:left w:w="108" w:type="dxa"/>
        <w:bottom w:w="0" w:type="dxa"/>
        <w:right w:w="108" w:type="dxa"/>
      </w:tblCellMar>
    </w:tblPr>
  </w:style>
  <w:style w:type="paragraph" w:styleId="6">
    <w:name w:val="toc 7"/>
    <w:basedOn w:val="1"/>
    <w:next w:val="1"/>
    <w:uiPriority w:val="0"/>
    <w:pPr>
      <w:ind w:left="1440"/>
      <w:jc w:val="left"/>
    </w:pPr>
    <w:rPr>
      <w:rFonts w:ascii="Times New Roman" w:hAnsi="Times New Roman"/>
    </w:rPr>
  </w:style>
  <w:style w:type="paragraph" w:styleId="7">
    <w:name w:val="Normal Indent"/>
    <w:basedOn w:val="1"/>
    <w:uiPriority w:val="0"/>
    <w:pPr>
      <w:snapToGrid w:val="0"/>
      <w:spacing w:line="300" w:lineRule="auto"/>
      <w:ind w:firstLine="420"/>
    </w:pPr>
    <w:rPr>
      <w:rFonts w:ascii="Times New Roman" w:hAnsi="Times New Roman"/>
      <w:szCs w:val="20"/>
    </w:rPr>
  </w:style>
  <w:style w:type="paragraph" w:styleId="8">
    <w:name w:val="Document Map"/>
    <w:basedOn w:val="1"/>
    <w:uiPriority w:val="0"/>
    <w:pPr>
      <w:shd w:val="clear" w:color="auto" w:fill="000080"/>
    </w:pPr>
  </w:style>
  <w:style w:type="paragraph" w:styleId="9">
    <w:name w:val="annotation text"/>
    <w:basedOn w:val="1"/>
    <w:uiPriority w:val="0"/>
    <w:pPr>
      <w:jc w:val="left"/>
    </w:pPr>
  </w:style>
  <w:style w:type="paragraph" w:styleId="10">
    <w:name w:val="Body Text"/>
    <w:basedOn w:val="1"/>
    <w:uiPriority w:val="0"/>
    <w:pPr>
      <w:widowControl/>
      <w:ind w:left="1701"/>
    </w:pPr>
    <w:rPr>
      <w:rFonts w:cs="Arial"/>
      <w:kern w:val="24"/>
      <w:lang w:eastAsia="fr-FR"/>
    </w:rPr>
  </w:style>
  <w:style w:type="paragraph" w:styleId="11">
    <w:name w:val="Body Text Indent"/>
    <w:basedOn w:val="1"/>
    <w:uiPriority w:val="0"/>
    <w:pPr>
      <w:widowControl/>
      <w:tabs>
        <w:tab w:val="left" w:pos="1701"/>
      </w:tabs>
      <w:spacing w:before="120" w:beforeLines="0"/>
      <w:ind w:left="1701"/>
    </w:pPr>
    <w:rPr>
      <w:rFonts w:cs="Arial"/>
      <w:kern w:val="0"/>
      <w:lang w:eastAsia="fr-FR"/>
    </w:rPr>
  </w:style>
  <w:style w:type="paragraph" w:styleId="12">
    <w:name w:val="toc 5"/>
    <w:basedOn w:val="1"/>
    <w:next w:val="1"/>
    <w:uiPriority w:val="0"/>
    <w:pPr>
      <w:ind w:left="960"/>
      <w:jc w:val="left"/>
    </w:pPr>
    <w:rPr>
      <w:rFonts w:ascii="Times New Roman" w:hAnsi="Times New Roman"/>
    </w:rPr>
  </w:style>
  <w:style w:type="paragraph" w:styleId="13">
    <w:name w:val="toc 3"/>
    <w:basedOn w:val="1"/>
    <w:next w:val="1"/>
    <w:qFormat/>
    <w:uiPriority w:val="0"/>
    <w:pPr>
      <w:tabs>
        <w:tab w:val="left" w:pos="1440"/>
        <w:tab w:val="right" w:leader="middleDot" w:pos="8777"/>
      </w:tabs>
      <w:ind w:left="960"/>
      <w:jc w:val="left"/>
    </w:pPr>
    <w:rPr>
      <w:bCs/>
      <w:lang/>
    </w:rPr>
  </w:style>
  <w:style w:type="paragraph" w:styleId="14">
    <w:name w:val="Plain Text"/>
    <w:basedOn w:val="1"/>
    <w:uiPriority w:val="0"/>
    <w:rPr>
      <w:rFonts w:ascii="宋体" w:hAnsi="Courier New" w:cs="Courier New"/>
      <w:sz w:val="21"/>
      <w:szCs w:val="21"/>
    </w:rPr>
  </w:style>
  <w:style w:type="paragraph" w:styleId="15">
    <w:name w:val="toc 8"/>
    <w:basedOn w:val="1"/>
    <w:next w:val="1"/>
    <w:uiPriority w:val="0"/>
    <w:pPr>
      <w:ind w:left="1680"/>
      <w:jc w:val="left"/>
    </w:pPr>
    <w:rPr>
      <w:rFonts w:ascii="Times New Roman" w:hAnsi="Times New Roman"/>
    </w:rPr>
  </w:style>
  <w:style w:type="paragraph" w:styleId="16">
    <w:name w:val="Date"/>
    <w:basedOn w:val="1"/>
    <w:next w:val="1"/>
    <w:uiPriority w:val="0"/>
    <w:pPr>
      <w:ind w:left="100" w:leftChars="2500" w:firstLine="200" w:firstLineChars="200"/>
    </w:pPr>
    <w:rPr>
      <w:rFonts w:cs="Arial"/>
      <w:kern w:val="0"/>
      <w:sz w:val="30"/>
      <w:szCs w:val="30"/>
    </w:rPr>
  </w:style>
  <w:style w:type="paragraph" w:styleId="17">
    <w:name w:val="Body Text Indent 2"/>
    <w:basedOn w:val="1"/>
    <w:uiPriority w:val="0"/>
    <w:pPr>
      <w:tabs>
        <w:tab w:val="left" w:pos="4612"/>
      </w:tabs>
      <w:ind w:firstLine="480" w:firstLineChars="200"/>
    </w:pPr>
  </w:style>
  <w:style w:type="paragraph" w:styleId="18">
    <w:name w:val="Balloon Text"/>
    <w:basedOn w:val="1"/>
    <w:uiPriority w:val="0"/>
    <w:rPr>
      <w:sz w:val="18"/>
      <w:szCs w:val="18"/>
    </w:rPr>
  </w:style>
  <w:style w:type="paragraph" w:styleId="19">
    <w:name w:val="footer"/>
    <w:basedOn w:val="1"/>
    <w:link w:val="40"/>
    <w:uiPriority w:val="0"/>
    <w:pPr>
      <w:tabs>
        <w:tab w:val="center" w:pos="4153"/>
        <w:tab w:val="right" w:pos="8306"/>
      </w:tabs>
      <w:snapToGrid w:val="0"/>
      <w:jc w:val="left"/>
    </w:pPr>
    <w:rPr>
      <w:sz w:val="18"/>
      <w:szCs w:val="18"/>
    </w:rPr>
  </w:style>
  <w:style w:type="paragraph" w:styleId="20">
    <w:name w:val="header"/>
    <w:basedOn w:val="1"/>
    <w:link w:val="41"/>
    <w:uiPriority w:val="0"/>
    <w:pPr>
      <w:pBdr>
        <w:bottom w:val="single" w:color="auto" w:sz="6" w:space="1"/>
      </w:pBdr>
      <w:tabs>
        <w:tab w:val="center" w:pos="4153"/>
        <w:tab w:val="right" w:pos="8306"/>
      </w:tabs>
      <w:snapToGrid w:val="0"/>
      <w:jc w:val="center"/>
    </w:pPr>
    <w:rPr>
      <w:sz w:val="18"/>
      <w:szCs w:val="18"/>
    </w:rPr>
  </w:style>
  <w:style w:type="paragraph" w:styleId="21">
    <w:name w:val="toc 1"/>
    <w:next w:val="1"/>
    <w:link w:val="42"/>
    <w:qFormat/>
    <w:uiPriority w:val="39"/>
    <w:pPr>
      <w:tabs>
        <w:tab w:val="left" w:pos="480"/>
        <w:tab w:val="right" w:leader="middleDot" w:pos="8777"/>
      </w:tabs>
      <w:adjustRightInd w:val="0"/>
      <w:snapToGrid w:val="0"/>
      <w:spacing w:line="300" w:lineRule="auto"/>
      <w:jc w:val="center"/>
    </w:pPr>
    <w:rPr>
      <w:kern w:val="2"/>
      <w:sz w:val="24"/>
      <w:szCs w:val="32"/>
      <w:lang w:val="en-US" w:eastAsia="zh-CN" w:bidi="ar-SA"/>
    </w:rPr>
  </w:style>
  <w:style w:type="paragraph" w:styleId="22">
    <w:name w:val="toc 4"/>
    <w:basedOn w:val="1"/>
    <w:next w:val="1"/>
    <w:uiPriority w:val="0"/>
    <w:pPr>
      <w:ind w:left="720"/>
      <w:jc w:val="left"/>
    </w:pPr>
    <w:rPr>
      <w:rFonts w:ascii="Times New Roman" w:hAnsi="Times New Roman"/>
    </w:rPr>
  </w:style>
  <w:style w:type="paragraph" w:styleId="23">
    <w:name w:val="toc 6"/>
    <w:basedOn w:val="1"/>
    <w:next w:val="1"/>
    <w:uiPriority w:val="0"/>
    <w:pPr>
      <w:ind w:left="1200"/>
      <w:jc w:val="left"/>
    </w:pPr>
    <w:rPr>
      <w:rFonts w:ascii="Times New Roman" w:hAnsi="Times New Roman"/>
    </w:rPr>
  </w:style>
  <w:style w:type="paragraph" w:styleId="24">
    <w:name w:val="Body Text Indent 3"/>
    <w:basedOn w:val="1"/>
    <w:uiPriority w:val="0"/>
    <w:pPr>
      <w:tabs>
        <w:tab w:val="left" w:pos="76"/>
        <w:tab w:val="left" w:pos="8902"/>
        <w:tab w:val="left" w:pos="8976"/>
      </w:tabs>
      <w:ind w:firstLine="420" w:firstLineChars="200"/>
    </w:pPr>
    <w:rPr>
      <w:sz w:val="21"/>
    </w:rPr>
  </w:style>
  <w:style w:type="paragraph" w:styleId="25">
    <w:name w:val="toc 2"/>
    <w:basedOn w:val="1"/>
    <w:next w:val="1"/>
    <w:qFormat/>
    <w:uiPriority w:val="39"/>
    <w:pPr>
      <w:tabs>
        <w:tab w:val="left" w:pos="960"/>
        <w:tab w:val="right" w:leader="middleDot" w:pos="8777"/>
      </w:tabs>
      <w:adjustRightInd w:val="0"/>
      <w:snapToGrid w:val="0"/>
      <w:spacing w:line="300" w:lineRule="auto"/>
      <w:ind w:left="200" w:leftChars="200"/>
    </w:pPr>
    <w:rPr>
      <w:rFonts w:ascii="Times New Roman" w:hAnsi="Times New Roman"/>
      <w:lang/>
    </w:rPr>
  </w:style>
  <w:style w:type="paragraph" w:styleId="26">
    <w:name w:val="toc 9"/>
    <w:basedOn w:val="1"/>
    <w:next w:val="1"/>
    <w:uiPriority w:val="0"/>
    <w:pPr>
      <w:ind w:left="1920"/>
      <w:jc w:val="left"/>
    </w:pPr>
    <w:rPr>
      <w:rFonts w:ascii="Times New Roman" w:hAnsi="Times New Roman"/>
    </w:rPr>
  </w:style>
  <w:style w:type="paragraph" w:styleId="27">
    <w:name w:val="Normal (Web)"/>
    <w:basedOn w:val="1"/>
    <w:uiPriority w:val="99"/>
    <w:pPr>
      <w:widowControl/>
      <w:spacing w:before="100" w:beforeLines="0" w:beforeAutospacing="1" w:after="100" w:afterLines="0" w:afterAutospacing="1"/>
      <w:jc w:val="left"/>
    </w:pPr>
    <w:rPr>
      <w:rFonts w:ascii="宋体" w:hAnsi="宋体"/>
      <w:kern w:val="0"/>
    </w:rPr>
  </w:style>
  <w:style w:type="paragraph" w:styleId="28">
    <w:name w:val="Title"/>
    <w:basedOn w:val="1"/>
    <w:qFormat/>
    <w:uiPriority w:val="0"/>
    <w:pPr>
      <w:spacing w:before="156" w:beforeLines="50" w:after="156" w:afterLines="50"/>
      <w:jc w:val="center"/>
      <w:outlineLvl w:val="0"/>
    </w:pPr>
    <w:rPr>
      <w:rFonts w:eastAsia="黑体" w:cs="Arial"/>
      <w:bCs/>
      <w:sz w:val="44"/>
      <w:szCs w:val="32"/>
    </w:rPr>
  </w:style>
  <w:style w:type="paragraph" w:styleId="29">
    <w:name w:val="annotation subject"/>
    <w:basedOn w:val="9"/>
    <w:next w:val="9"/>
    <w:uiPriority w:val="0"/>
    <w:rPr>
      <w:b/>
      <w:bCs/>
    </w:rPr>
  </w:style>
  <w:style w:type="table" w:styleId="31">
    <w:name w:val="Table Grid"/>
    <w:basedOn w:val="30"/>
    <w:uiPriority w:val="59"/>
    <w:tblPr>
      <w:tblStyle w:val="3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Theme"/>
    <w:basedOn w:val="30"/>
    <w:uiPriority w:val="0"/>
    <w:pPr>
      <w:spacing w:line="280" w:lineRule="exact"/>
    </w:pPr>
    <w:tblPr>
      <w:tblStyle w:val="3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uiPriority w:val="0"/>
    <w:rPr>
      <w:rFonts w:ascii="Arial Narrow" w:hAnsi="Arial Narrow" w:eastAsia="宋体"/>
      <w:sz w:val="21"/>
    </w:rPr>
  </w:style>
  <w:style w:type="character" w:styleId="35">
    <w:name w:val="FollowedHyperlink"/>
    <w:uiPriority w:val="99"/>
    <w:rPr>
      <w:color w:val="800080"/>
      <w:u w:val="single"/>
    </w:rPr>
  </w:style>
  <w:style w:type="character" w:styleId="36">
    <w:name w:val="Emphasis"/>
    <w:qFormat/>
    <w:uiPriority w:val="0"/>
    <w:rPr>
      <w:i/>
    </w:rPr>
  </w:style>
  <w:style w:type="character" w:styleId="37">
    <w:name w:val="Hyperlink"/>
    <w:uiPriority w:val="99"/>
    <w:rPr>
      <w:color w:val="0000FF"/>
      <w:u w:val="single"/>
    </w:rPr>
  </w:style>
  <w:style w:type="character" w:styleId="38">
    <w:name w:val="annotation reference"/>
    <w:uiPriority w:val="0"/>
    <w:rPr>
      <w:sz w:val="21"/>
      <w:szCs w:val="21"/>
    </w:rPr>
  </w:style>
  <w:style w:type="character" w:customStyle="1" w:styleId="39">
    <w:name w:val="标题 2 字符"/>
    <w:link w:val="3"/>
    <w:uiPriority w:val="0"/>
    <w:rPr>
      <w:rFonts w:ascii="Arial Narrow" w:hAnsi="Arial Narrow" w:eastAsia="黑体"/>
      <w:bCs/>
      <w:kern w:val="2"/>
      <w:sz w:val="28"/>
      <w:szCs w:val="32"/>
    </w:rPr>
  </w:style>
  <w:style w:type="character" w:customStyle="1" w:styleId="40">
    <w:name w:val="页脚 字符"/>
    <w:link w:val="19"/>
    <w:uiPriority w:val="99"/>
    <w:rPr>
      <w:rFonts w:ascii="Arial Narrow" w:hAnsi="Arial Narrow"/>
      <w:kern w:val="2"/>
      <w:sz w:val="18"/>
      <w:szCs w:val="18"/>
    </w:rPr>
  </w:style>
  <w:style w:type="character" w:customStyle="1" w:styleId="41">
    <w:name w:val="页眉 字符"/>
    <w:link w:val="20"/>
    <w:uiPriority w:val="99"/>
    <w:rPr>
      <w:rFonts w:ascii="Arial Narrow" w:hAnsi="Arial Narrow"/>
      <w:kern w:val="2"/>
      <w:sz w:val="18"/>
      <w:szCs w:val="18"/>
    </w:rPr>
  </w:style>
  <w:style w:type="character" w:customStyle="1" w:styleId="42">
    <w:name w:val="TOC 1 字符"/>
    <w:link w:val="21"/>
    <w:uiPriority w:val="39"/>
    <w:rPr>
      <w:kern w:val="2"/>
      <w:sz w:val="24"/>
      <w:szCs w:val="32"/>
    </w:rPr>
  </w:style>
  <w:style w:type="paragraph" w:customStyle="1" w:styleId="43">
    <w:name w:val="xl31"/>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cs="宋体"/>
      <w:kern w:val="0"/>
      <w:sz w:val="20"/>
      <w:szCs w:val="20"/>
    </w:rPr>
  </w:style>
  <w:style w:type="paragraph" w:customStyle="1" w:styleId="44">
    <w:name w:val="xl22"/>
    <w:basedOn w:val="1"/>
    <w:uiPriority w:val="0"/>
    <w:pPr>
      <w:widowControl/>
      <w:pBdr>
        <w:top w:val="single" w:color="000000" w:sz="4" w:space="0"/>
        <w:left w:val="single" w:color="000000" w:sz="4" w:space="0"/>
        <w:bottom w:val="single" w:color="000000" w:sz="4" w:space="0"/>
        <w:right w:val="single" w:color="000000" w:sz="4" w:space="0"/>
      </w:pBdr>
      <w:spacing w:before="100" w:beforeLines="0" w:beforeAutospacing="1" w:after="100" w:afterLines="0" w:afterAutospacing="1"/>
      <w:jc w:val="center"/>
      <w:textAlignment w:val="center"/>
    </w:pPr>
    <w:rPr>
      <w:rFonts w:cs="宋体"/>
      <w:color w:val="000000"/>
      <w:kern w:val="0"/>
    </w:rPr>
  </w:style>
  <w:style w:type="paragraph" w:customStyle="1" w:styleId="45">
    <w:name w:val=".."/>
    <w:basedOn w:val="1"/>
    <w:next w:val="1"/>
    <w:uiPriority w:val="0"/>
    <w:pPr>
      <w:autoSpaceDE w:val="0"/>
      <w:autoSpaceDN w:val="0"/>
      <w:adjustRightInd w:val="0"/>
      <w:jc w:val="left"/>
    </w:pPr>
    <w:rPr>
      <w:rFonts w:ascii=".." w:hAnsi="Times New Roman" w:eastAsia=".."/>
      <w:kern w:val="0"/>
    </w:rPr>
  </w:style>
  <w:style w:type="paragraph" w:customStyle="1" w:styleId="46">
    <w:name w:val="xl16"/>
    <w:basedOn w:val="1"/>
    <w:uiPriority w:val="0"/>
    <w:pPr>
      <w:widowControl/>
      <w:pBdr>
        <w:top w:val="single" w:color="auto" w:sz="4" w:space="0"/>
        <w:left w:val="single" w:color="auto" w:sz="4" w:space="0"/>
        <w:bottom w:val="single" w:color="auto" w:sz="4" w:space="0"/>
        <w:right w:val="single" w:color="auto" w:sz="4" w:space="0"/>
      </w:pBdr>
      <w:shd w:val="clear" w:color="auto" w:fill="ECE9D8"/>
      <w:spacing w:before="100" w:beforeLines="0" w:beforeAutospacing="1" w:after="100" w:afterLines="0" w:afterAutospacing="1"/>
      <w:jc w:val="center"/>
      <w:textAlignment w:val="center"/>
    </w:pPr>
    <w:rPr>
      <w:rFonts w:cs="宋体"/>
      <w:color w:val="000000"/>
      <w:kern w:val="0"/>
    </w:rPr>
  </w:style>
  <w:style w:type="paragraph" w:customStyle="1" w:styleId="47">
    <w:name w:val="xl25"/>
    <w:basedOn w:val="1"/>
    <w:uiPriority w:val="0"/>
    <w:pPr>
      <w:widowControl/>
      <w:spacing w:before="100" w:beforeLines="0" w:beforeAutospacing="1" w:after="100" w:afterLines="0" w:afterAutospacing="1"/>
      <w:jc w:val="center"/>
      <w:textAlignment w:val="center"/>
    </w:pPr>
    <w:rPr>
      <w:rFonts w:eastAsia="Arial Unicode MS" w:cs="Arial Unicode MS"/>
      <w:kern w:val="0"/>
    </w:rPr>
  </w:style>
  <w:style w:type="paragraph" w:customStyle="1" w:styleId="48">
    <w:name w:val=" Char"/>
    <w:basedOn w:val="1"/>
    <w:uiPriority w:val="0"/>
    <w:rPr>
      <w:rFonts w:ascii="Times New Roman" w:hAnsi="Times New Roman"/>
      <w:sz w:val="21"/>
    </w:rPr>
  </w:style>
  <w:style w:type="paragraph" w:customStyle="1" w:styleId="49">
    <w:name w:val="xl17"/>
    <w:basedOn w:val="1"/>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Lines="0" w:beforeAutospacing="1" w:after="100" w:afterLines="0" w:afterAutospacing="1"/>
      <w:jc w:val="left"/>
      <w:textAlignment w:val="center"/>
    </w:pPr>
    <w:rPr>
      <w:rFonts w:cs="宋体"/>
      <w:color w:val="000000"/>
      <w:kern w:val="0"/>
    </w:rPr>
  </w:style>
  <w:style w:type="paragraph" w:customStyle="1" w:styleId="50">
    <w:name w:val="font5"/>
    <w:basedOn w:val="1"/>
    <w:uiPriority w:val="0"/>
    <w:pPr>
      <w:widowControl/>
      <w:spacing w:before="100" w:beforeLines="0" w:beforeAutospacing="1" w:after="100" w:afterLines="0" w:afterAutospacing="1"/>
      <w:jc w:val="left"/>
    </w:pPr>
    <w:rPr>
      <w:rFonts w:ascii="MS Sans Serif" w:hAnsi="MS Sans Serif" w:eastAsia="Arial Unicode MS" w:cs="Arial Unicode MS"/>
      <w:color w:val="000000"/>
      <w:kern w:val="0"/>
      <w:sz w:val="16"/>
      <w:szCs w:val="16"/>
    </w:rPr>
  </w:style>
  <w:style w:type="paragraph" w:customStyle="1" w:styleId="51">
    <w:name w:val="xl30"/>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cs="宋体"/>
      <w:kern w:val="0"/>
      <w:sz w:val="20"/>
      <w:szCs w:val="20"/>
    </w:rPr>
  </w:style>
  <w:style w:type="paragraph" w:customStyle="1" w:styleId="52">
    <w:name w:val="text"/>
    <w:basedOn w:val="1"/>
    <w:uiPriority w:val="0"/>
    <w:pPr>
      <w:widowControl/>
      <w:spacing w:before="100" w:beforeLines="0" w:beforeAutospacing="1" w:after="100" w:afterLines="0" w:afterAutospacing="1"/>
      <w:jc w:val="left"/>
    </w:pPr>
    <w:rPr>
      <w:rFonts w:ascii="宋体" w:hAnsi="宋体" w:cs="宋体"/>
      <w:kern w:val="0"/>
    </w:rPr>
  </w:style>
  <w:style w:type="paragraph" w:customStyle="1" w:styleId="53">
    <w:name w:val="xl21"/>
    <w:basedOn w:val="1"/>
    <w:uiPriority w:val="0"/>
    <w:pPr>
      <w:widowControl/>
      <w:pBdr>
        <w:top w:val="single" w:color="000000" w:sz="4" w:space="0"/>
        <w:left w:val="single" w:color="000000" w:sz="4" w:space="0"/>
        <w:bottom w:val="single" w:color="000000" w:sz="4" w:space="0"/>
        <w:right w:val="single" w:color="000000" w:sz="4" w:space="0"/>
      </w:pBdr>
      <w:spacing w:before="100" w:beforeLines="0" w:beforeAutospacing="1" w:after="100" w:afterLines="0" w:afterAutospacing="1"/>
      <w:jc w:val="center"/>
      <w:textAlignment w:val="center"/>
    </w:pPr>
    <w:rPr>
      <w:rFonts w:cs="宋体"/>
      <w:color w:val="000000"/>
      <w:kern w:val="0"/>
    </w:rPr>
  </w:style>
  <w:style w:type="paragraph" w:customStyle="1" w:styleId="54">
    <w:name w:val="xl23"/>
    <w:basedOn w:val="1"/>
    <w:uiPriority w:val="0"/>
    <w:pPr>
      <w:widowControl/>
      <w:pBdr>
        <w:top w:val="single" w:color="000000" w:sz="4" w:space="0"/>
        <w:left w:val="single" w:color="000000" w:sz="4" w:space="0"/>
        <w:bottom w:val="single" w:color="000000" w:sz="4" w:space="0"/>
        <w:right w:val="single" w:color="000000" w:sz="4" w:space="0"/>
      </w:pBdr>
      <w:spacing w:before="100" w:beforeLines="0" w:beforeAutospacing="1" w:after="100" w:afterLines="0" w:afterAutospacing="1"/>
      <w:jc w:val="center"/>
      <w:textAlignment w:val="center"/>
    </w:pPr>
    <w:rPr>
      <w:rFonts w:cs="宋体"/>
      <w:color w:val="000000"/>
      <w:kern w:val="0"/>
    </w:rPr>
  </w:style>
  <w:style w:type="paragraph" w:customStyle="1" w:styleId="55">
    <w:name w:val=" Char Char Char Char"/>
    <w:basedOn w:val="1"/>
    <w:uiPriority w:val="0"/>
  </w:style>
  <w:style w:type="paragraph" w:customStyle="1" w:styleId="56">
    <w:name w:val="xl18"/>
    <w:basedOn w:val="1"/>
    <w:uiPriority w:val="0"/>
    <w:pPr>
      <w:widowControl/>
      <w:pBdr>
        <w:top w:val="single" w:color="000000" w:sz="4" w:space="0"/>
        <w:left w:val="single" w:color="000000" w:sz="4" w:space="0"/>
        <w:bottom w:val="single" w:color="000000" w:sz="4" w:space="0"/>
        <w:right w:val="single" w:color="000000" w:sz="4" w:space="0"/>
      </w:pBdr>
      <w:shd w:val="clear" w:color="auto" w:fill="ECE9D8"/>
      <w:spacing w:before="100" w:beforeLines="0" w:beforeAutospacing="1" w:after="100" w:afterLines="0" w:afterAutospacing="1"/>
      <w:jc w:val="center"/>
    </w:pPr>
    <w:rPr>
      <w:rFonts w:hint="eastAsia" w:ascii="宋体" w:hAnsi="宋体" w:cs="Arial Unicode MS"/>
      <w:color w:val="000000"/>
      <w:kern w:val="0"/>
      <w:sz w:val="16"/>
      <w:szCs w:val="16"/>
    </w:rPr>
  </w:style>
  <w:style w:type="paragraph" w:customStyle="1" w:styleId="57">
    <w:name w:val="font7"/>
    <w:basedOn w:val="1"/>
    <w:uiPriority w:val="0"/>
    <w:pPr>
      <w:widowControl/>
      <w:spacing w:before="100" w:beforeLines="0" w:beforeAutospacing="1" w:after="100" w:afterLines="0" w:afterAutospacing="1"/>
      <w:jc w:val="left"/>
    </w:pPr>
    <w:rPr>
      <w:rFonts w:cs="宋体"/>
      <w:kern w:val="0"/>
      <w:sz w:val="20"/>
      <w:szCs w:val="20"/>
    </w:rPr>
  </w:style>
  <w:style w:type="paragraph" w:customStyle="1" w:styleId="58">
    <w:name w:val="......"/>
    <w:basedOn w:val="1"/>
    <w:next w:val="1"/>
    <w:uiPriority w:val="0"/>
    <w:pPr>
      <w:autoSpaceDE w:val="0"/>
      <w:autoSpaceDN w:val="0"/>
      <w:adjustRightInd w:val="0"/>
      <w:jc w:val="left"/>
    </w:pPr>
    <w:rPr>
      <w:rFonts w:ascii=".." w:hAnsi="Times New Roman" w:eastAsia=".."/>
      <w:kern w:val="0"/>
    </w:rPr>
  </w:style>
  <w:style w:type="paragraph" w:customStyle="1" w:styleId="59">
    <w:name w:val="font6"/>
    <w:basedOn w:val="1"/>
    <w:uiPriority w:val="0"/>
    <w:pPr>
      <w:widowControl/>
      <w:spacing w:before="100" w:beforeLines="0" w:beforeAutospacing="1" w:after="100" w:afterLines="0" w:afterAutospacing="1"/>
      <w:jc w:val="left"/>
    </w:pPr>
    <w:rPr>
      <w:rFonts w:hint="eastAsia" w:ascii="宋体" w:hAnsi="宋体" w:cs="Arial Unicode MS"/>
      <w:kern w:val="0"/>
      <w:sz w:val="18"/>
      <w:szCs w:val="18"/>
    </w:rPr>
  </w:style>
  <w:style w:type="paragraph" w:customStyle="1" w:styleId="60">
    <w:name w:val="xl28"/>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cs="宋体"/>
      <w:kern w:val="0"/>
      <w:sz w:val="20"/>
      <w:szCs w:val="20"/>
    </w:rPr>
  </w:style>
  <w:style w:type="paragraph" w:customStyle="1" w:styleId="61">
    <w:name w:val="xl27"/>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cs="宋体"/>
      <w:kern w:val="0"/>
      <w:sz w:val="20"/>
      <w:szCs w:val="20"/>
    </w:rPr>
  </w:style>
  <w:style w:type="paragraph" w:customStyle="1" w:styleId="62">
    <w:name w:val="Default"/>
    <w:uiPriority w:val="0"/>
    <w:pPr>
      <w:widowControl w:val="0"/>
      <w:autoSpaceDE w:val="0"/>
      <w:autoSpaceDN w:val="0"/>
      <w:adjustRightInd w:val="0"/>
      <w:spacing w:line="280" w:lineRule="exact"/>
    </w:pPr>
    <w:rPr>
      <w:rFonts w:ascii="楷体_GB2312" w:eastAsia="楷体_GB2312" w:cs="楷体_GB2312"/>
      <w:color w:val="000000"/>
      <w:sz w:val="24"/>
      <w:szCs w:val="24"/>
      <w:lang w:val="en-US" w:eastAsia="zh-CN" w:bidi="ar-SA"/>
    </w:rPr>
  </w:style>
  <w:style w:type="paragraph" w:customStyle="1" w:styleId="63">
    <w:name w:val="xl20"/>
    <w:basedOn w:val="1"/>
    <w:uiPriority w:val="0"/>
    <w:pPr>
      <w:widowControl/>
      <w:shd w:val="clear" w:color="auto" w:fill="ECE9D8"/>
      <w:spacing w:before="100" w:beforeLines="0" w:beforeAutospacing="1" w:after="100" w:afterLines="0" w:afterAutospacing="1"/>
      <w:jc w:val="center"/>
    </w:pPr>
    <w:rPr>
      <w:rFonts w:hint="eastAsia" w:ascii="宋体" w:hAnsi="宋体" w:cs="Arial Unicode MS"/>
      <w:color w:val="000000"/>
      <w:kern w:val="0"/>
      <w:sz w:val="16"/>
      <w:szCs w:val="16"/>
    </w:rPr>
  </w:style>
  <w:style w:type="paragraph" w:customStyle="1" w:styleId="64">
    <w:name w:val="xl29"/>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cs="宋体"/>
      <w:kern w:val="0"/>
      <w:sz w:val="20"/>
      <w:szCs w:val="20"/>
    </w:rPr>
  </w:style>
  <w:style w:type="paragraph" w:customStyle="1" w:styleId="65">
    <w:name w:val="xl19"/>
    <w:basedOn w:val="1"/>
    <w:uiPriority w:val="0"/>
    <w:pPr>
      <w:widowControl/>
      <w:shd w:val="clear" w:color="auto" w:fill="ECE9D8"/>
      <w:spacing w:before="100" w:beforeLines="0" w:beforeAutospacing="1" w:after="100" w:afterLines="0" w:afterAutospacing="1"/>
      <w:jc w:val="center"/>
    </w:pPr>
    <w:rPr>
      <w:rFonts w:ascii="MS Sans Serif" w:hAnsi="MS Sans Serif" w:eastAsia="Arial Unicode MS" w:cs="Arial Unicode MS"/>
      <w:color w:val="000000"/>
      <w:kern w:val="0"/>
      <w:sz w:val="16"/>
      <w:szCs w:val="16"/>
    </w:rPr>
  </w:style>
  <w:style w:type="paragraph" w:customStyle="1" w:styleId="66">
    <w:name w:val="TxBr_t1"/>
    <w:basedOn w:val="1"/>
    <w:uiPriority w:val="0"/>
    <w:pPr>
      <w:spacing w:line="515" w:lineRule="atLeast"/>
      <w:jc w:val="left"/>
    </w:pPr>
    <w:rPr>
      <w:rFonts w:ascii="Times New Roman" w:hAnsi="Times New Roman"/>
      <w:snapToGrid w:val="0"/>
      <w:kern w:val="0"/>
      <w:szCs w:val="20"/>
      <w:lang w:val="en-GB" w:eastAsia="en-US"/>
    </w:rPr>
  </w:style>
  <w:style w:type="paragraph" w:customStyle="1" w:styleId="67">
    <w:name w:val="Char Char Char Char Char Char Char"/>
    <w:basedOn w:val="1"/>
    <w:uiPriority w:val="0"/>
    <w:rPr>
      <w:rFonts w:ascii="Times New Roman" w:hAnsi="Times New Roman"/>
      <w:sz w:val="21"/>
    </w:rPr>
  </w:style>
  <w:style w:type="paragraph" w:customStyle="1" w:styleId="68">
    <w:name w:val="xl66"/>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bottom"/>
    </w:pPr>
    <w:rPr>
      <w:rFonts w:ascii="宋体" w:hAnsi="宋体" w:cs="宋体"/>
      <w:b/>
      <w:bCs/>
      <w:color w:val="000000"/>
      <w:kern w:val="0"/>
      <w:sz w:val="20"/>
      <w:szCs w:val="20"/>
    </w:rPr>
  </w:style>
  <w:style w:type="paragraph" w:customStyle="1" w:styleId="69">
    <w:name w:val="xl6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bottom"/>
    </w:pPr>
    <w:rPr>
      <w:rFonts w:cs="宋体"/>
      <w:b/>
      <w:bCs/>
      <w:color w:val="000000"/>
      <w:kern w:val="0"/>
      <w:sz w:val="20"/>
      <w:szCs w:val="20"/>
    </w:rPr>
  </w:style>
  <w:style w:type="paragraph" w:customStyle="1" w:styleId="70">
    <w:name w:val="xl6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rPr>
  </w:style>
  <w:style w:type="paragraph" w:customStyle="1" w:styleId="71">
    <w:name w:val="xl6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rPr>
  </w:style>
  <w:style w:type="paragraph" w:customStyle="1" w:styleId="72">
    <w:name w:val="xl7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rPr>
  </w:style>
  <w:style w:type="paragraph" w:styleId="73">
    <w:name w:val=""/>
    <w:basedOn w:val="2"/>
    <w:next w:val="1"/>
    <w:qFormat/>
    <w:uiPriority w:val="39"/>
    <w:pPr>
      <w:tabs>
        <w:tab w:val="clear" w:pos="480"/>
      </w:tabs>
      <w:spacing w:before="480" w:beforeLines="0" w:after="0" w:afterLines="0" w:line="276" w:lineRule="auto"/>
      <w:outlineLvl w:val="9"/>
    </w:pPr>
    <w:rPr>
      <w:rFonts w:ascii="Cambria" w:hAnsi="Cambria" w:eastAsia="宋体" w:cs="Times New Roman"/>
      <w:b/>
      <w:color w:val="365F91"/>
      <w:kern w:val="0"/>
      <w:sz w:val="28"/>
      <w:szCs w:val="28"/>
    </w:rPr>
  </w:style>
  <w:style w:type="paragraph" w:customStyle="1" w:styleId="74">
    <w:name w:val="内容正文"/>
    <w:basedOn w:val="1"/>
    <w:link w:val="75"/>
    <w:uiPriority w:val="0"/>
    <w:pPr>
      <w:widowControl w:val="0"/>
      <w:spacing w:line="240" w:lineRule="auto"/>
      <w:ind w:firstLine="200" w:firstLineChars="200"/>
      <w:jc w:val="both"/>
    </w:pPr>
    <w:rPr>
      <w:rFonts w:ascii="Times New Roman" w:hAnsi="Times New Roman"/>
      <w:sz w:val="21"/>
    </w:rPr>
  </w:style>
  <w:style w:type="character" w:customStyle="1" w:styleId="75">
    <w:name w:val="内容正文 Char"/>
    <w:link w:val="74"/>
    <w:uiPriority w:val="0"/>
    <w:rPr>
      <w:kern w:val="2"/>
      <w:sz w:val="21"/>
      <w:szCs w:val="24"/>
    </w:rPr>
  </w:style>
  <w:style w:type="paragraph" w:customStyle="1" w:styleId="76">
    <w:name w:val="样式16"/>
    <w:basedOn w:val="1"/>
    <w:link w:val="77"/>
    <w:uiPriority w:val="0"/>
    <w:pPr>
      <w:widowControl w:val="0"/>
      <w:spacing w:line="240" w:lineRule="auto"/>
      <w:ind w:firstLine="200" w:firstLineChars="200"/>
    </w:pPr>
    <w:rPr>
      <w:rFonts w:ascii="宋体" w:hAnsi="宋体"/>
      <w:bCs/>
      <w:sz w:val="21"/>
      <w:szCs w:val="21"/>
    </w:rPr>
  </w:style>
  <w:style w:type="character" w:customStyle="1" w:styleId="77">
    <w:name w:val="样式16 Char"/>
    <w:link w:val="76"/>
    <w:uiPriority w:val="0"/>
    <w:rPr>
      <w:rFonts w:ascii="宋体" w:hAnsi="宋体" w:cs="Arial"/>
      <w:bCs/>
      <w:kern w:val="2"/>
      <w:sz w:val="21"/>
      <w:szCs w:val="21"/>
    </w:rPr>
  </w:style>
  <w:style w:type="paragraph" w:customStyle="1" w:styleId="78">
    <w:name w:val="xl6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b/>
      <w:bCs/>
      <w:kern w:val="0"/>
    </w:rPr>
  </w:style>
  <w:style w:type="paragraph" w:customStyle="1" w:styleId="79">
    <w:name w:val="xl6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kern w:val="0"/>
    </w:rPr>
  </w:style>
  <w:style w:type="paragraph" w:customStyle="1" w:styleId="80">
    <w:name w:val="font8"/>
    <w:basedOn w:val="1"/>
    <w:uiPriority w:val="0"/>
    <w:pPr>
      <w:spacing w:before="100" w:beforeAutospacing="1" w:after="100" w:afterAutospacing="1" w:line="240" w:lineRule="auto"/>
    </w:pPr>
    <w:rPr>
      <w:rFonts w:cs="宋体"/>
      <w:kern w:val="0"/>
      <w:sz w:val="20"/>
      <w:szCs w:val="20"/>
    </w:rPr>
  </w:style>
  <w:style w:type="paragraph" w:customStyle="1" w:styleId="81">
    <w:name w:val="font9"/>
    <w:basedOn w:val="1"/>
    <w:uiPriority w:val="0"/>
    <w:pPr>
      <w:spacing w:before="100" w:beforeAutospacing="1" w:after="100" w:afterAutospacing="1" w:line="240" w:lineRule="auto"/>
    </w:pPr>
    <w:rPr>
      <w:rFonts w:ascii="宋体" w:hAnsi="宋体" w:cs="宋体"/>
      <w:kern w:val="0"/>
      <w:sz w:val="20"/>
      <w:szCs w:val="20"/>
    </w:rPr>
  </w:style>
  <w:style w:type="paragraph" w:customStyle="1" w:styleId="82">
    <w:name w:val="xl71"/>
    <w:basedOn w:val="1"/>
    <w:uiPriority w:val="0"/>
    <w:pPr>
      <w:shd w:val="clear" w:color="000000" w:fill="FFFFFF"/>
      <w:spacing w:before="100" w:beforeAutospacing="1" w:after="100" w:afterAutospacing="1" w:line="240" w:lineRule="auto"/>
    </w:pPr>
    <w:rPr>
      <w:rFonts w:cs="宋体"/>
      <w:kern w:val="0"/>
      <w:sz w:val="20"/>
      <w:szCs w:val="20"/>
    </w:rPr>
  </w:style>
  <w:style w:type="paragraph" w:customStyle="1" w:styleId="83">
    <w:name w:val="AppendixSect 2"/>
    <w:uiPriority w:val="0"/>
    <w:pPr>
      <w:keepNext/>
      <w:keepLines/>
      <w:tabs>
        <w:tab w:val="left" w:pos="-720"/>
      </w:tabs>
      <w:suppressAutoHyphens/>
    </w:pPr>
    <w:rPr>
      <w:rFonts w:ascii="Times Roman" w:hAnsi="Times Roman"/>
      <w:sz w:val="24"/>
      <w:lang w:val="en-US" w:eastAsia="en-US" w:bidi="ar-SA"/>
    </w:rPr>
  </w:style>
  <w:style w:type="paragraph" w:customStyle="1" w:styleId="84">
    <w:name w:val="_Style 89"/>
    <w:uiPriority w:val="99"/>
    <w:pPr>
      <w:spacing w:line="280" w:lineRule="exact"/>
    </w:pPr>
    <w:rPr>
      <w:rFonts w:ascii="Arial Narrow" w:hAnsi="Arial Narrow"/>
      <w:kern w:val="2"/>
      <w:sz w:val="24"/>
      <w:szCs w:val="24"/>
      <w:lang w:val="en-US" w:eastAsia="zh-CN" w:bidi="ar-SA"/>
    </w:rPr>
  </w:style>
  <w:style w:type="table" w:customStyle="1" w:styleId="85">
    <w:name w:val="网格型1"/>
    <w:basedOn w:val="30"/>
    <w:uiPriority w:val="0"/>
    <w:pPr>
      <w:widowControl w:val="0"/>
      <w:jc w:val="both"/>
    </w:pPr>
    <w:tblPr>
      <w:tblStyle w:val="3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6">
    <w:name w:val="Achievement"/>
    <w:basedOn w:val="10"/>
    <w:uiPriority w:val="0"/>
    <w:pPr>
      <w:spacing w:after="60" w:line="220" w:lineRule="atLeast"/>
      <w:ind w:left="245" w:right="-360" w:hanging="245"/>
    </w:pPr>
    <w:rPr>
      <w:rFonts w:ascii="Times New Roman" w:hAnsi="Times New Roman" w:cs="Times New Roman"/>
      <w:kern w:val="0"/>
      <w:sz w:val="20"/>
      <w:szCs w:val="20"/>
      <w:lang w:eastAsia="zh-CN"/>
    </w:rPr>
  </w:style>
  <w:style w:type="paragraph" w:customStyle="1" w:styleId="87">
    <w:name w:val="段"/>
    <w:uiPriority w:val="0"/>
    <w:pPr>
      <w:numPr>
        <w:ilvl w:val="0"/>
        <w:numId w:val="1"/>
      </w:numPr>
      <w:autoSpaceDE w:val="0"/>
      <w:autoSpaceDN w:val="0"/>
      <w:ind w:firstLine="200" w:firstLineChars="200"/>
      <w:jc w:val="both"/>
    </w:pPr>
    <w:rPr>
      <w:rFonts w:ascii="宋体"/>
      <w:sz w:val="21"/>
      <w:lang w:val="en-US" w:eastAsia="zh-CN" w:bidi="ar-SA"/>
    </w:rPr>
  </w:style>
  <w:style w:type="paragraph" w:customStyle="1" w:styleId="88">
    <w:name w:val="前言、引言标题"/>
    <w:next w:val="1"/>
    <w:uiPriority w:val="0"/>
    <w:pPr>
      <w:numPr>
        <w:ilvl w:val="2"/>
        <w:numId w:val="1"/>
      </w:numPr>
      <w:shd w:val="clear" w:color="FFFFFF" w:fill="FFFFFF"/>
      <w:spacing w:before="640" w:after="560"/>
      <w:ind w:left="0"/>
      <w:jc w:val="center"/>
      <w:outlineLvl w:val="0"/>
    </w:pPr>
    <w:rPr>
      <w:rFonts w:ascii="黑体" w:eastAsia="黑体"/>
      <w:sz w:val="32"/>
      <w:lang w:val="en-US" w:eastAsia="zh-CN" w:bidi="ar-SA"/>
    </w:rPr>
  </w:style>
  <w:style w:type="paragraph" w:customStyle="1" w:styleId="89">
    <w:name w:val="二级条标题"/>
    <w:basedOn w:val="1"/>
    <w:next w:val="87"/>
    <w:link w:val="90"/>
    <w:uiPriority w:val="0"/>
    <w:pPr>
      <w:numPr>
        <w:ilvl w:val="5"/>
        <w:numId w:val="1"/>
      </w:numPr>
      <w:spacing w:line="240" w:lineRule="auto"/>
      <w:ind w:left="1080"/>
      <w:jc w:val="both"/>
      <w:outlineLvl w:val="3"/>
    </w:pPr>
    <w:rPr>
      <w:rFonts w:ascii="黑体" w:hAnsi="Times New Roman" w:eastAsia="黑体"/>
      <w:kern w:val="0"/>
      <w:sz w:val="21"/>
      <w:szCs w:val="20"/>
    </w:rPr>
  </w:style>
  <w:style w:type="character" w:customStyle="1" w:styleId="90">
    <w:name w:val="二级条标题 Char"/>
    <w:link w:val="89"/>
    <w:uiPriority w:val="0"/>
    <w:rPr>
      <w:rFonts w:ascii="黑体" w:eastAsia="黑体"/>
      <w:sz w:val="21"/>
    </w:rPr>
  </w:style>
  <w:style w:type="paragraph" w:customStyle="1" w:styleId="91">
    <w:name w:val="三级条标题"/>
    <w:basedOn w:val="89"/>
    <w:next w:val="87"/>
    <w:uiPriority w:val="0"/>
    <w:pPr>
      <w:numPr>
        <w:ilvl w:val="4"/>
        <w:numId w:val="1"/>
      </w:numPr>
      <w:tabs>
        <w:tab w:val="left" w:pos="2100"/>
      </w:tabs>
      <w:ind w:left="2100" w:hanging="420"/>
      <w:outlineLvl w:val="4"/>
    </w:pPr>
  </w:style>
  <w:style w:type="paragraph" w:customStyle="1" w:styleId="92">
    <w:name w:val="四级条标题"/>
    <w:basedOn w:val="91"/>
    <w:next w:val="87"/>
    <w:uiPriority w:val="0"/>
    <w:pPr>
      <w:numPr>
        <w:ilvl w:val="1"/>
        <w:numId w:val="1"/>
      </w:numPr>
      <w:tabs>
        <w:tab w:val="left" w:pos="360"/>
        <w:tab w:val="left" w:pos="840"/>
        <w:tab w:val="left" w:pos="2520"/>
      </w:tabs>
      <w:ind w:left="2520" w:hanging="420"/>
      <w:outlineLvl w:val="5"/>
    </w:pPr>
  </w:style>
  <w:style w:type="paragraph" w:customStyle="1" w:styleId="93">
    <w:name w:val="数字项"/>
    <w:basedOn w:val="1"/>
    <w:uiPriority w:val="0"/>
    <w:pPr>
      <w:numPr>
        <w:ilvl w:val="8"/>
        <w:numId w:val="2"/>
      </w:numPr>
      <w:spacing w:line="440" w:lineRule="exact"/>
      <w:ind w:left="1333" w:hanging="482"/>
    </w:pPr>
    <w:rPr>
      <w:rFonts w:ascii="宋体" w:hAnsi="Times New Roman"/>
      <w:kern w:val="0"/>
      <w:szCs w:val="20"/>
    </w:rPr>
  </w:style>
  <w:style w:type="paragraph" w:customStyle="1" w:styleId="94">
    <w:name w:val="标准书眉一"/>
    <w:uiPriority w:val="0"/>
    <w:pPr>
      <w:jc w:val="both"/>
    </w:pPr>
    <w:rPr>
      <w:lang w:val="en-US" w:eastAsia="zh-CN" w:bidi="ar-SA"/>
    </w:rPr>
  </w:style>
  <w:style w:type="paragraph" w:customStyle="1" w:styleId="95">
    <w:name w:val="表格1"/>
    <w:basedOn w:val="1"/>
    <w:uiPriority w:val="0"/>
    <w:pPr>
      <w:widowControl w:val="0"/>
      <w:adjustRightInd w:val="0"/>
      <w:spacing w:line="360" w:lineRule="auto"/>
      <w:jc w:val="center"/>
      <w:textAlignment w:val="baseline"/>
    </w:pPr>
    <w:rPr>
      <w:rFonts w:ascii="宋体" w:hAnsi="Times New Roman"/>
      <w:kern w:val="0"/>
    </w:rPr>
  </w:style>
  <w:style w:type="paragraph" w:customStyle="1" w:styleId="96">
    <w:name w:val="文章格式"/>
    <w:basedOn w:val="1"/>
    <w:link w:val="97"/>
    <w:qFormat/>
    <w:uiPriority w:val="0"/>
    <w:pPr>
      <w:widowControl w:val="0"/>
      <w:spacing w:line="240" w:lineRule="auto"/>
      <w:ind w:firstLine="200" w:firstLineChars="200"/>
      <w:jc w:val="both"/>
    </w:pPr>
    <w:rPr>
      <w:rFonts w:ascii="Arial" w:hAnsi="Arial"/>
      <w:sz w:val="21"/>
    </w:rPr>
  </w:style>
  <w:style w:type="character" w:customStyle="1" w:styleId="97">
    <w:name w:val="文章格式 Char"/>
    <w:link w:val="96"/>
    <w:uiPriority w:val="0"/>
    <w:rPr>
      <w:rFonts w:ascii="Arial" w:hAnsi="Arial"/>
      <w:kern w:val="2"/>
      <w:sz w:val="21"/>
      <w:szCs w:val="24"/>
    </w:rPr>
  </w:style>
  <w:style w:type="paragraph" w:customStyle="1" w:styleId="98">
    <w:name w:val="Char Char Char Char"/>
    <w:basedOn w:val="1"/>
    <w:uiPriority w:val="0"/>
    <w:pPr>
      <w:widowControl w:val="0"/>
      <w:spacing w:line="240" w:lineRule="auto"/>
      <w:jc w:val="both"/>
    </w:pPr>
  </w:style>
  <w:style w:type="paragraph" w:customStyle="1" w:styleId="99">
    <w:name w:val="Char"/>
    <w:basedOn w:val="1"/>
    <w:uiPriority w:val="0"/>
    <w:pPr>
      <w:widowControl w:val="0"/>
      <w:spacing w:line="240" w:lineRule="auto"/>
      <w:jc w:val="both"/>
    </w:pPr>
    <w:rPr>
      <w:rFonts w:ascii="Times New Roman" w:hAnsi="Times New Roman"/>
      <w:sz w:val="21"/>
    </w:rPr>
  </w:style>
  <w:style w:type="paragraph" w:styleId="100">
    <w:name w:val="List Paragraph"/>
    <w:basedOn w:val="1"/>
    <w:qFormat/>
    <w:uiPriority w:val="34"/>
    <w:pPr>
      <w:widowControl w:val="0"/>
      <w:spacing w:line="240" w:lineRule="auto"/>
      <w:ind w:firstLine="420" w:firstLineChars="200"/>
      <w:jc w:val="both"/>
    </w:pPr>
  </w:style>
  <w:style w:type="paragraph" w:customStyle="1" w:styleId="101">
    <w:name w:val="xl6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b/>
      <w:bCs/>
      <w:kern w:val="0"/>
      <w:sz w:val="20"/>
      <w:szCs w:val="20"/>
    </w:rPr>
  </w:style>
  <w:style w:type="paragraph" w:customStyle="1" w:styleId="102">
    <w:name w:val="msonormal"/>
    <w:basedOn w:val="1"/>
    <w:uiPriority w:val="0"/>
    <w:pPr>
      <w:spacing w:before="100" w:beforeAutospacing="1" w:after="100" w:afterAutospacing="1" w:line="240" w:lineRule="auto"/>
    </w:pPr>
    <w:rPr>
      <w:rFonts w:ascii="宋体" w:hAnsi="宋体" w:cs="宋体"/>
      <w:kern w:val="0"/>
    </w:rPr>
  </w:style>
  <w:style w:type="paragraph" w:customStyle="1" w:styleId="103">
    <w:name w:val="xl72"/>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宋体" w:hAnsi="宋体" w:cs="宋体"/>
      <w:kern w:val="0"/>
    </w:rPr>
  </w:style>
  <w:style w:type="paragraph" w:customStyle="1" w:styleId="104">
    <w:name w:val="xl73"/>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宋体" w:hAnsi="宋体" w:cs="宋体"/>
      <w:kern w:val="0"/>
    </w:rPr>
  </w:style>
  <w:style w:type="paragraph" w:customStyle="1" w:styleId="105">
    <w:name w:val="xl74"/>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pPr>
    <w:rPr>
      <w:rFonts w:ascii="宋体" w:hAnsi="宋体" w:cs="宋体"/>
      <w:kern w:val="0"/>
    </w:rPr>
  </w:style>
  <w:style w:type="paragraph" w:customStyle="1" w:styleId="106">
    <w:name w:val="xl87"/>
    <w:basedOn w:val="1"/>
    <w:uiPriority w:val="0"/>
    <w:pPr>
      <w:spacing w:before="100" w:beforeAutospacing="1" w:after="100" w:afterAutospacing="1" w:line="240" w:lineRule="auto"/>
      <w:jc w:val="center"/>
      <w:textAlignment w:val="center"/>
    </w:pPr>
    <w:rPr>
      <w:rFonts w:ascii="宋体" w:hAnsi="宋体" w:cs="宋体"/>
      <w:b/>
      <w:bCs/>
      <w:kern w:val="0"/>
    </w:rPr>
  </w:style>
  <w:style w:type="paragraph" w:customStyle="1" w:styleId="107">
    <w:name w:val="xl8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cs="宋体"/>
      <w:b/>
      <w:bCs/>
      <w:kern w:val="0"/>
    </w:rPr>
  </w:style>
  <w:style w:type="paragraph" w:customStyle="1" w:styleId="108">
    <w:name w:val="xl9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宋体" w:hAnsi="宋体" w:cs="宋体"/>
      <w:kern w:val="0"/>
    </w:rPr>
  </w:style>
  <w:style w:type="paragraph" w:customStyle="1" w:styleId="109">
    <w:name w:val="xl88"/>
    <w:basedOn w:val="1"/>
    <w:uiPriority w:val="0"/>
    <w:pPr>
      <w:spacing w:before="100" w:beforeAutospacing="1" w:after="100" w:afterAutospacing="1" w:line="240" w:lineRule="auto"/>
      <w:jc w:val="center"/>
      <w:textAlignment w:val="center"/>
    </w:pPr>
    <w:rPr>
      <w:rFonts w:ascii="宋体" w:hAnsi="宋体" w:cs="宋体"/>
      <w:b/>
      <w:bCs/>
      <w:kern w:val="0"/>
    </w:rPr>
  </w:style>
  <w:style w:type="paragraph" w:customStyle="1" w:styleId="110">
    <w:name w:val="font10"/>
    <w:basedOn w:val="1"/>
    <w:uiPriority w:val="0"/>
    <w:pPr>
      <w:spacing w:before="100" w:beforeAutospacing="1" w:after="100" w:afterAutospacing="1" w:line="240" w:lineRule="auto"/>
    </w:pPr>
    <w:rPr>
      <w:rFonts w:ascii="Times New Roman" w:hAnsi="Times New Roman"/>
      <w:color w:val="000000"/>
      <w:kern w:val="0"/>
      <w:sz w:val="22"/>
      <w:szCs w:val="22"/>
    </w:rPr>
  </w:style>
  <w:style w:type="paragraph" w:customStyle="1" w:styleId="111">
    <w:name w:val="xl7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kern w:val="0"/>
    </w:rPr>
  </w:style>
  <w:style w:type="paragraph" w:customStyle="1" w:styleId="112">
    <w:name w:val="xl7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GMRI</Company>
  <Pages>17</Pages>
  <Words>11586</Words>
  <Characters>12937</Characters>
  <Lines>154</Lines>
  <Paragraphs>43</Paragraphs>
  <TotalTime>2</TotalTime>
  <ScaleCrop>false</ScaleCrop>
  <LinksUpToDate>false</LinksUpToDate>
  <CharactersWithSpaces>13165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2024-08-28T12:55:00Z</dcterms:created>
  <dc:creator>微软用户</dc:creator>
  <cp:lastModifiedBy>SYSTEM</cp:lastModifiedBy>
  <cp:lastPrinted>2026-08-24T06:30:00Z</cp:lastPrinted>
  <dcterms:modified xsi:type="dcterms:W3CDTF">2026-10-12T02:16:28Z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KSOTemplateDocerSaveRecord">
    <vt:lpwstr>eyJoZGlkIjoiMzEwNTM5NzYwMDRjMzkwZTVkZjY2ODkwMGIxNGU0OTUiLCJ1c2VySWQiOiIxMTk3MjE5MzkxIn0=</vt:lpwstr>
  </property>
  <property fmtid="{D5CDD505-2E9C-101B-9397-08002B2CF9AE}" pid="4" name="ICV">
    <vt:lpwstr>B0990F73186645828019CF52B14484EF_13</vt:lpwstr>
  </property>
</Properties>
</file>