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RBI报告校对意见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7" w:name="_独山子石化储运二部液体储运装置rbi报告校对意见"/>
    <w:p>
      <w:pPr>
        <w:pStyle w:val="Heading1"/>
      </w:pPr>
      <w:r>
        <w:rPr>
          <w:rStyle w:val="SectionNumber"/>
        </w:rPr>
        <w:t xml:space="preserve">1</w:t>
      </w:r>
      <w:r>
        <w:tab/>
      </w:r>
      <w:r>
        <w:rPr>
          <w:rFonts w:hint="eastAsia"/>
        </w:rPr>
        <w:t xml:space="preserve">独山子石化储运二部液体储运装置RBI报告校对意见</w:t>
      </w:r>
    </w:p>
    <w:p>
      <w:pPr>
        <w:pStyle w:val="FirstParagraph"/>
      </w:pPr>
      <w:r>
        <w:rPr>
          <w:rFonts w:hint="eastAsia"/>
          <w:b/>
          <w:bCs/>
        </w:rPr>
        <w:t xml:space="preserve">报告名称</w:t>
      </w:r>
      <w:r>
        <w:rPr>
          <w:rFonts w:hint="eastAsia"/>
        </w:rPr>
        <w:t xml:space="preserve">：独山子石化储运二部液体储运装置部分压力容器RBI评估报告</w:t>
      </w:r>
    </w:p>
    <w:p>
      <w:pPr>
        <w:pStyle w:val="BodyText"/>
      </w:pPr>
      <w:r>
        <w:rPr>
          <w:rFonts w:hint="eastAsia"/>
          <w:b/>
          <w:bCs/>
        </w:rPr>
        <w:t xml:space="preserve">报告编号</w:t>
      </w:r>
      <w:r>
        <w:rPr>
          <w:rFonts w:hint="eastAsia"/>
        </w:rPr>
        <w:t xml:space="preserve">：2026-GJTJ-DSZSH-RBI-01</w:t>
      </w:r>
    </w:p>
    <w:p>
      <w:pPr>
        <w:pStyle w:val="BodyText"/>
      </w:pPr>
      <w:r>
        <w:rPr>
          <w:rFonts w:hint="eastAsia"/>
          <w:b/>
          <w:bCs/>
        </w:rPr>
        <w:t xml:space="preserve">编制单位</w:t>
      </w:r>
      <w:r>
        <w:rPr>
          <w:rFonts w:hint="eastAsia"/>
        </w:rPr>
        <w:t xml:space="preserve">：国机特种设备检验有限公司</w:t>
      </w:r>
    </w:p>
    <w:p>
      <w:pPr>
        <w:pStyle w:val="BodyText"/>
      </w:pPr>
      <w:r>
        <w:rPr>
          <w:rFonts w:hint="eastAsia"/>
          <w:b/>
          <w:bCs/>
        </w:rPr>
        <w:t xml:space="preserve">评估范围</w:t>
      </w:r>
      <w:r>
        <w:rPr>
          <w:rFonts w:hint="eastAsia"/>
        </w:rPr>
        <w:t xml:space="preserve">：4台球罐（轻烃球罐3台</w:t>
      </w:r>
      <w:r>
        <w:t xml:space="preserve"> + </w:t>
      </w:r>
      <w:r>
        <w:rPr>
          <w:rFonts w:hint="eastAsia"/>
        </w:rPr>
        <w:t xml:space="preserve">乙烷球罐1台）</w:t>
      </w:r>
    </w:p>
    <w:p>
      <w:pPr>
        <w:pStyle w:val="BodyText"/>
      </w:pPr>
      <w:r>
        <w:rPr>
          <w:rFonts w:hint="eastAsia"/>
          <w:b/>
          <w:bCs/>
        </w:rPr>
        <w:t xml:space="preserve">校对依据</w:t>
      </w:r>
      <w:r>
        <w:rPr>
          <w:rFonts w:hint="eastAsia"/>
        </w:rPr>
        <w:t xml:space="preserve">：API</w:t>
      </w:r>
      <w:r>
        <w:t xml:space="preserve"> 571-2020、API 581-2025、TSG 21-2016、TSG 31-2025</w:t>
      </w:r>
    </w:p>
    <w:p>
      <w:r>
        <w:pict>
          <v:rect style="width:0;height:1.5pt" o:hralign="center" o:hrstd="t" o:hr="t"/>
        </w:pict>
      </w:r>
    </w:p>
    <w:bookmarkStart w:id="9" w:name="_一总体评价"/>
    <w:p>
      <w:pPr>
        <w:pStyle w:val="Heading2"/>
      </w:pPr>
      <w:r>
        <w:rPr>
          <w:rStyle w:val="SectionNumber"/>
        </w:rPr>
        <w:t xml:space="preserve">1.1</w:t>
      </w:r>
      <w:r>
        <w:tab/>
      </w:r>
      <w:r>
        <w:rPr>
          <w:rFonts w:hint="eastAsia"/>
        </w:rPr>
        <w:t xml:space="preserve">一、总体评价</w:t>
      </w:r>
    </w:p>
    <w:p>
      <w:pPr>
        <w:pStyle w:val="FirstParagraph"/>
      </w:pPr>
      <w:r>
        <w:rPr>
          <w:rFonts w:hint="eastAsia"/>
        </w:rPr>
        <w:t xml:space="preserve">报告框架完整，RBI方法论应用基本正确。风险计算结果与附录2数据一致。但存在以下需修正的问题。</w:t>
      </w:r>
    </w:p>
    <w:p>
      <w:r>
        <w:pict>
          <v:rect style="width:0;height:1.5pt" o:hralign="center" o:hrstd="t" o:hr="t"/>
        </w:pict>
      </w:r>
    </w:p>
    <w:bookmarkEnd w:id="9"/>
    <w:bookmarkStart w:id="13" w:name="_二问题分类汇总"/>
    <w:p>
      <w:pPr>
        <w:pStyle w:val="Heading2"/>
      </w:pPr>
      <w:r>
        <w:rPr>
          <w:rStyle w:val="SectionNumber"/>
        </w:rPr>
        <w:t xml:space="preserve">1.2</w:t>
      </w:r>
      <w:r>
        <w:tab/>
      </w:r>
      <w:r>
        <w:rPr>
          <w:rFonts w:hint="eastAsia"/>
        </w:rPr>
        <w:t xml:space="preserve">二、问题分类汇总</w:t>
      </w:r>
    </w:p>
    <w:bookmarkStart w:id="10" w:name="_99a739da912926cef012551adeccff9bc61cb7f"/>
    <w:p>
      <w:pPr>
        <w:pStyle w:val="Heading3"/>
      </w:pPr>
      <w:r>
        <w:rPr>
          <w:rStyle w:val="SectionNumber"/>
        </w:rPr>
        <w:t xml:space="preserve">1.2.1</w:t>
      </w:r>
      <w:r>
        <w:tab/>
      </w:r>
      <w:r>
        <w:rPr>
          <w:rFonts w:hint="eastAsia"/>
        </w:rPr>
        <w:t xml:space="preserve">A类</w:t>
      </w:r>
      <w:r>
        <w:t xml:space="preserve"> — </w:t>
      </w:r>
      <w:r>
        <w:rPr>
          <w:rFonts w:hint="eastAsia"/>
        </w:rPr>
        <w:t xml:space="preserve">必须修正（影响报告有效性和安全性）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编号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</w:t>
            </w:r>
          </w:p>
        </w:tc>
      </w:tr>
      <w:tr>
        <w:tc>
          <w:tcPr/>
          <w:p>
            <w:pPr>
              <w:pStyle w:val="Compact"/>
            </w:pPr>
            <w:r>
              <w:t xml:space="preserve">A1</w:t>
            </w:r>
          </w:p>
        </w:tc>
        <w:tc>
          <w:tcPr/>
          <w:p>
            <w:pPr>
              <w:pStyle w:val="Compact"/>
            </w:pPr>
            <w:r>
              <w:t xml:space="preserve">§1.2 vs §5.4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检验时间两组数据未做区分说明。表5-3”下次检验时间”（2026年8月/9月）系前次定检周期确定，§1.2”下次检验时间”（2027年6月/8月）系RBI延长后建议值，二者差约1年，报告未解释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报告编写规范性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在§1.2或§5.4末尾增加一段过渡说明：表5-3中的下次检验时间为原定检周期下的计划时间，本次RBI评估后在满足安全条件下建议延长至2027年</w:t>
            </w:r>
          </w:p>
        </w:tc>
      </w:tr>
      <w:tr>
        <w:tc>
          <w:tcPr/>
          <w:p>
            <w:pPr>
              <w:pStyle w:val="Compact"/>
            </w:pPr>
            <w:r>
              <w:t xml:space="preserve">A2</w:t>
            </w:r>
          </w:p>
        </w:tc>
        <w:tc>
          <w:tcPr/>
          <w:p>
            <w:pPr>
              <w:pStyle w:val="Compact"/>
            </w:pPr>
            <w:r>
              <w:t xml:space="preserve">§1.2(5) vs </w:t>
            </w:r>
            <w:r>
              <w:rPr>
                <w:rFonts w:hint="eastAsia"/>
              </w:rPr>
              <w:t xml:space="preserve">附录2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296-V-0001J合于使用评价（FFS）有效期至</w:t>
            </w:r>
            <w:r>
              <w:rPr>
                <w:rFonts w:hint="eastAsia"/>
                <w:b/>
                <w:bCs/>
              </w:rPr>
              <w:t xml:space="preserve">2027年6月</w:t>
            </w:r>
            <w:r>
              <w:rPr>
                <w:rFonts w:hint="eastAsia"/>
              </w:rPr>
              <w:t xml:space="preserve">，RBI建议检验时间为</w:t>
            </w:r>
            <w:r>
              <w:rPr>
                <w:rFonts w:hint="eastAsia"/>
                <w:b/>
                <w:bCs/>
              </w:rPr>
              <w:t xml:space="preserve">2027年6月30日</w:t>
            </w:r>
            <w:r>
              <w:rPr>
                <w:rFonts w:hint="eastAsia"/>
              </w:rPr>
              <w:t xml:space="preserve">，检验时效卡在FFS极限位置，零安全裕量</w:t>
            </w:r>
          </w:p>
        </w:tc>
        <w:tc>
          <w:tcPr/>
          <w:p>
            <w:pPr>
              <w:pStyle w:val="Compact"/>
            </w:pPr>
            <w:r>
              <w:t xml:space="preserve">GB/T 19624-2019 </w:t>
            </w:r>
            <w:r>
              <w:rPr>
                <w:rFonts w:hint="eastAsia"/>
              </w:rPr>
              <w:t xml:space="preserve">FFS报告19R0044-QQ01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将296-V-0001J下次检验时间</w:t>
            </w:r>
            <w:r>
              <w:rPr>
                <w:rFonts w:hint="eastAsia"/>
                <w:b/>
                <w:bCs/>
              </w:rPr>
              <w:t xml:space="preserve">提前至2027年3月</w:t>
            </w:r>
            <w:r>
              <w:rPr>
                <w:rFonts w:hint="eastAsia"/>
              </w:rPr>
              <w:t xml:space="preserve">，预留至少3个月安全裕量。若操作条件偏离FFS假设或缺陷加速扩展，6月30日的deadline将不可控</w:t>
            </w:r>
          </w:p>
        </w:tc>
      </w:tr>
      <w:tr>
        <w:tc>
          <w:tcPr/>
          <w:p>
            <w:pPr>
              <w:pStyle w:val="Compact"/>
            </w:pPr>
            <w:r>
              <w:t xml:space="preserve">A3</w:t>
            </w:r>
          </w:p>
        </w:tc>
        <w:tc>
          <w:tcPr/>
          <w:p>
            <w:pPr>
              <w:pStyle w:val="Compact"/>
            </w:pPr>
            <w:r>
              <w:t xml:space="preserve">§5.3.1 </w:t>
            </w:r>
            <w:r>
              <w:rPr>
                <w:rFonts w:hint="eastAsia"/>
              </w:rPr>
              <w:t xml:space="preserve">表5-2</w:t>
            </w:r>
            <w:r>
              <w:t xml:space="preserve"> vs </w:t>
            </w:r>
            <w:r>
              <w:rPr>
                <w:rFonts w:hint="eastAsia"/>
              </w:rPr>
              <w:t xml:space="preserve">附录2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正文损伤机理定性分析仅列出3种：酸性酸水腐蚀、湿硫化氢破坏、保温层下腐蚀。但附录2中95-V-9201B（07MnNiMoDR）识别出</w:t>
            </w:r>
            <w:r>
              <w:rPr>
                <w:rFonts w:hint="eastAsia"/>
                <w:b/>
                <w:bCs/>
              </w:rPr>
              <w:t xml:space="preserve">“再热裂纹（应力松弛开裂）”</w:t>
            </w:r>
            <w:r>
              <w:rPr>
                <w:rFonts w:hint="eastAsia"/>
              </w:rPr>
              <w:t xml:space="preserve">，损伤因子DF=10（四台最高），正文完全未提及</w:t>
            </w:r>
          </w:p>
        </w:tc>
        <w:tc>
          <w:tcPr/>
          <w:p>
            <w:pPr>
              <w:pStyle w:val="Compact"/>
            </w:pPr>
            <w:r>
              <w:t xml:space="preserve">API 571 </w:t>
            </w:r>
            <w:r>
              <w:rPr>
                <w:rFonts w:hint="eastAsia"/>
              </w:rPr>
              <w:t xml:space="preserve">§3.55（再热裂纹/应力松弛开裂）；07MnNiMoDR为调质高强度钢，PWHT后对再热裂纹敏感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在§5.3.1表5-2中补充”机械损伤—再热裂纹（应力松弛开裂）“条目，并在损伤机理描述中增加相关说明</w:t>
            </w:r>
          </w:p>
        </w:tc>
      </w:tr>
      <w:tr>
        <w:tc>
          <w:tcPr/>
          <w:p>
            <w:pPr>
              <w:pStyle w:val="Compact"/>
            </w:pPr>
            <w:r>
              <w:t xml:space="preserve">A4</w:t>
            </w:r>
          </w:p>
        </w:tc>
        <w:tc>
          <w:tcPr/>
          <w:p>
            <w:pPr>
              <w:pStyle w:val="Compact"/>
            </w:pPr>
            <w:r>
              <w:t xml:space="preserve">§5.3.1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酸性酸水腐蚀被列为三大损伤机理之一，但实际条件不满足：H₂S仅1ppm，H₂O仅10ppm，pH=6.5。API</w:t>
            </w:r>
            <w:r>
              <w:t xml:space="preserve"> 571 </w:t>
            </w:r>
            <w:r>
              <w:rPr>
                <w:rFonts w:hint="eastAsia"/>
              </w:rPr>
              <w:t xml:space="preserve">§3.58.4明确指出该机理主要发生在FCC/焦化装置气体分馏塔顶（高H₂S、低NH₃环境），轻烃球罐不属此场景。附录2中该机理DF全部为1（最低值），印证风险可忽略</w:t>
            </w:r>
          </w:p>
        </w:tc>
        <w:tc>
          <w:tcPr/>
          <w:p>
            <w:pPr>
              <w:pStyle w:val="Compact"/>
            </w:pPr>
            <w:r>
              <w:t xml:space="preserve">API 571 </w:t>
            </w:r>
            <w:r>
              <w:rPr>
                <w:rFonts w:hint="eastAsia"/>
              </w:rPr>
              <w:t xml:space="preserve">§3.58.1（定义）、§3.58.4（适用装置）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建议重新评估酸性酸水腐蚀的适用性。若保留，须在正文中补充论证：在H₂S=1ppm、H₂O=10ppm边界条件下的腐蚀机理成立依据</w:t>
            </w:r>
          </w:p>
        </w:tc>
      </w:tr>
      <w:tr>
        <w:tc>
          <w:tcPr/>
          <w:p>
            <w:pPr>
              <w:pStyle w:val="Compact"/>
            </w:pPr>
            <w:r>
              <w:t xml:space="preserve">A5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报告封面/首页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报告编号重复出现两次（正文第1行和第11行），编制/校对/审核/批准四栏全部空白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报告形审标准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删除第11行重复的报告编号；补齐签署信息，正式签发不可空白</w:t>
            </w:r>
          </w:p>
        </w:tc>
      </w:tr>
    </w:tbl>
    <w:bookmarkEnd w:id="10"/>
    <w:bookmarkStart w:id="11" w:name="_2ee6e9856d7ec816bb523c429df395e9f10b345"/>
    <w:p>
      <w:pPr>
        <w:pStyle w:val="Heading3"/>
      </w:pPr>
      <w:r>
        <w:rPr>
          <w:rStyle w:val="SectionNumber"/>
        </w:rPr>
        <w:t xml:space="preserve">1.2.2</w:t>
      </w:r>
      <w:r>
        <w:tab/>
      </w:r>
      <w:r>
        <w:rPr>
          <w:rFonts w:hint="eastAsia"/>
        </w:rPr>
        <w:t xml:space="preserve">B类</w:t>
      </w:r>
      <w:r>
        <w:t xml:space="preserve"> — </w:t>
      </w:r>
      <w:r>
        <w:rPr>
          <w:rFonts w:hint="eastAsia"/>
        </w:rPr>
        <w:t xml:space="preserve">建议修正（影响技术严谨性和完整性）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编号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</w:t>
            </w:r>
          </w:p>
        </w:tc>
        <w:tc>
          <w:tcPr/>
          <w:p>
            <w:pPr>
              <w:pStyle w:val="Compact"/>
            </w:pPr>
            <w:r>
              <w:t xml:space="preserve">§5.3.3 vs §5.4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296-V-0001I和296-V-0001J均存在</w:t>
            </w:r>
            <w:r>
              <w:rPr>
                <w:rFonts w:hint="eastAsia"/>
                <w:b/>
                <w:bCs/>
              </w:rPr>
              <w:t xml:space="preserve">多处十字焊缝</w:t>
            </w:r>
            <w:r>
              <w:rPr>
                <w:rFonts w:hint="eastAsia"/>
              </w:rPr>
              <w:t xml:space="preserve">，TSG</w:t>
            </w:r>
            <w:r>
              <w:t xml:space="preserve"> 21 </w:t>
            </w:r>
            <w:r>
              <w:rPr>
                <w:rFonts w:hint="eastAsia"/>
              </w:rPr>
              <w:t xml:space="preserve">§4.2.1.3(2)明确”压力容器不宜采用十字焊缝”。报告仅以”重点关注工卡具焊迹部位的制造缺陷”一句带过，未做十字焊缝与湿硫化氢破坏（SOHIC）的耦合风险分析。附录2中296-V-0001J的HIC/SOHIC损伤因子为8.50（三台轻烃球罐中最高的），十字焊缝部位的高残余应力恰好是SOHIC的主要驱动力</w:t>
            </w:r>
          </w:p>
        </w:tc>
        <w:tc>
          <w:tcPr/>
          <w:p>
            <w:pPr>
              <w:pStyle w:val="Compact"/>
            </w:pPr>
            <w:r>
              <w:t xml:space="preserve">TSG 21-2016 </w:t>
            </w:r>
            <w:r>
              <w:rPr>
                <w:rFonts w:hint="eastAsia"/>
              </w:rPr>
              <w:t xml:space="preserve">§4.2.1.3(2)；API</w:t>
            </w:r>
            <w:r>
              <w:t xml:space="preserve"> 571 </w:t>
            </w:r>
            <w:r>
              <w:rPr>
                <w:rFonts w:hint="eastAsia"/>
              </w:rPr>
              <w:t xml:space="preserve">§3.67.3(i)：SOHIC需要高应力驱动，焊接残余应力是最主要来源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在§5.3.3腐蚀分析结论中，将十字焊缝单独列为湿硫化氢破坏（SOHIC）的高风险因素，与工卡具焊迹分开表述。强调十字焊缝部位应100%无损检测覆盖</w:t>
            </w:r>
          </w:p>
        </w:tc>
      </w:tr>
      <w:tr>
        <w:tc>
          <w:tcPr/>
          <w:p>
            <w:pPr>
              <w:pStyle w:val="Compact"/>
            </w:pPr>
            <w:r>
              <w:t xml:space="preserve">B2</w:t>
            </w:r>
          </w:p>
        </w:tc>
        <w:tc>
          <w:tcPr/>
          <w:p>
            <w:pPr>
              <w:pStyle w:val="Compact"/>
            </w:pPr>
            <w:r>
              <w:t xml:space="preserve">§5.3.1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湿硫化氢破坏的适用性论证不充分。API</w:t>
            </w:r>
            <w:r>
              <w:t xml:space="preserve"> 571 </w:t>
            </w:r>
            <w:r>
              <w:rPr>
                <w:rFonts w:hint="eastAsia"/>
              </w:rPr>
              <w:t xml:space="preserve">§3.67.3(c)(2)指出水相中1ppm</w:t>
            </w:r>
            <w:r>
              <w:t xml:space="preserve"> </w:t>
            </w:r>
            <w:r>
              <w:rPr>
                <w:rFonts w:hint="eastAsia"/>
              </w:rPr>
              <w:t xml:space="preserve">H₂S即可引起钢充氢，但pH=6.5（近中性）时氢渗透最小（§3.67.3(d)(1)），且水相仅10ppm。实际风险为”低概率但不可排除”</w:t>
            </w:r>
          </w:p>
        </w:tc>
        <w:tc>
          <w:tcPr/>
          <w:p>
            <w:pPr>
              <w:pStyle w:val="Compact"/>
            </w:pPr>
            <w:r>
              <w:t xml:space="preserve">API 571 §3.67.3(c)(2)、(d)(1)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建议在湿硫化氢破坏描述后增加一段适用性论证：说明在当前介质条件下为何仍识别此机理（保守处理/底部积水可能/操作波动），并引用API</w:t>
            </w:r>
            <w:r>
              <w:t xml:space="preserve"> </w:t>
            </w:r>
            <w:r>
              <w:rPr>
                <w:rFonts w:hint="eastAsia"/>
              </w:rPr>
              <w:t xml:space="preserve">571中的阈值数据</w:t>
            </w:r>
          </w:p>
        </w:tc>
      </w:tr>
      <w:tr>
        <w:tc>
          <w:tcPr/>
          <w:p>
            <w:pPr>
              <w:pStyle w:val="Compact"/>
            </w:pPr>
            <w:r>
              <w:t xml:space="preserve">B3</w:t>
            </w:r>
          </w:p>
        </w:tc>
        <w:tc>
          <w:tcPr/>
          <w:p>
            <w:pPr>
              <w:pStyle w:val="Compact"/>
            </w:pPr>
            <w:r>
              <w:t xml:space="preserve">§6 </w:t>
            </w:r>
            <w:r>
              <w:rPr>
                <w:rFonts w:hint="eastAsia"/>
              </w:rPr>
              <w:t xml:space="preserve">表6-1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物流表缺少操作温度、操作压力数据，这是损伤因子计算和后果评估的核心输入。pH=6.5的测量来源未说明（水相还是估算？C1-C2物流如何测得？）</w:t>
            </w:r>
          </w:p>
        </w:tc>
        <w:tc>
          <w:tcPr/>
          <w:p>
            <w:pPr>
              <w:pStyle w:val="Compact"/>
            </w:pPr>
            <w:r>
              <w:t xml:space="preserve">API 581 </w:t>
            </w:r>
            <w:r>
              <w:rPr>
                <w:rFonts w:hint="eastAsia"/>
              </w:rPr>
              <w:t xml:space="preserve">COF/POF计算输入要求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补充操作温压参数；注明pH测量方法和取样条件</w:t>
            </w:r>
          </w:p>
        </w:tc>
      </w:tr>
      <w:tr>
        <w:tc>
          <w:tcPr/>
          <w:p>
            <w:pPr>
              <w:pStyle w:val="Compact"/>
            </w:pPr>
            <w:r>
              <w:t xml:space="preserve">B4</w:t>
            </w:r>
          </w:p>
        </w:tc>
        <w:tc>
          <w:tcPr/>
          <w:p>
            <w:pPr>
              <w:pStyle w:val="Compact"/>
            </w:pPr>
            <w:r>
              <w:t xml:space="preserve">§9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“在此，对独山子石化的领导及各成员表示衷心感谢”</w:t>
            </w:r>
            <w:r>
              <w:rPr>
                <w:rFonts w:hint="eastAsia"/>
              </w:rPr>
              <w:t xml:space="preserve">疑有文字重复，请核实原文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核实后修正</w:t>
            </w:r>
          </w:p>
        </w:tc>
      </w:tr>
      <w:tr>
        <w:tc>
          <w:tcPr/>
          <w:p>
            <w:pPr>
              <w:pStyle w:val="Compact"/>
            </w:pPr>
            <w:r>
              <w:t xml:space="preserve">B5</w:t>
            </w:r>
          </w:p>
        </w:tc>
        <w:tc>
          <w:tcPr/>
          <w:p>
            <w:pPr>
              <w:pStyle w:val="Compact"/>
            </w:pPr>
            <w:r>
              <w:t xml:space="preserve">§3.2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参考文献版本：API</w:t>
            </w:r>
            <w:r>
              <w:t xml:space="preserve"> </w:t>
            </w:r>
            <w:r>
              <w:rPr>
                <w:rFonts w:hint="eastAsia"/>
              </w:rPr>
              <w:t xml:space="preserve">579已更新为API</w:t>
            </w:r>
            <w:r>
              <w:t xml:space="preserve"> 579-1/ASME </w:t>
            </w:r>
            <w:r>
              <w:rPr>
                <w:rFonts w:hint="eastAsia"/>
              </w:rPr>
              <w:t xml:space="preserve">FFS-1；API</w:t>
            </w:r>
            <w:r>
              <w:t xml:space="preserve"> </w:t>
            </w:r>
            <w:r>
              <w:rPr>
                <w:rFonts w:hint="eastAsia"/>
              </w:rPr>
              <w:t xml:space="preserve">750已废止并被API</w:t>
            </w:r>
            <w:r>
              <w:t xml:space="preserve"> RP </w:t>
            </w:r>
            <w:r>
              <w:rPr>
                <w:rFonts w:hint="eastAsia"/>
              </w:rPr>
              <w:t xml:space="preserve">751替代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API标准现行版本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更新文献列表，标注版本年份</w:t>
            </w:r>
          </w:p>
        </w:tc>
      </w:tr>
      <w:tr>
        <w:tc>
          <w:tcPr/>
          <w:p>
            <w:pPr>
              <w:pStyle w:val="Compact"/>
            </w:pPr>
            <w:r>
              <w:t xml:space="preserve">B6</w:t>
            </w:r>
          </w:p>
        </w:tc>
        <w:tc>
          <w:tcPr/>
          <w:p>
            <w:pPr>
              <w:pStyle w:val="Compact"/>
            </w:pPr>
            <w:r>
              <w:t xml:space="preserve">§7.3 vs </w:t>
            </w:r>
            <w:r>
              <w:rPr>
                <w:rFonts w:hint="eastAsia"/>
              </w:rPr>
              <w:t xml:space="preserve">附录2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风险矩阵结果中296-V-0001C（等级2、无缺陷）与296-V-0001J（等级3、十字焊缝+III级缺陷）同为2E。296-V-0001J的HIC/SOHIC损伤因子8.50高于296-V-0001C的5.87，风险排序可解释为同风险区间内不同位置，但建议在报告中明确说明</w:t>
            </w:r>
          </w:p>
        </w:tc>
        <w:tc>
          <w:tcPr/>
          <w:p>
            <w:pPr>
              <w:pStyle w:val="Compact"/>
            </w:pPr>
            <w:r>
              <w:t xml:space="preserve">API </w:t>
            </w:r>
            <w:r>
              <w:rPr>
                <w:rFonts w:hint="eastAsia"/>
              </w:rPr>
              <w:t xml:space="preserve">581风险矩阵分级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在§7.2表7-1下方增加说明：同风险等级设备按损伤因子排序</w:t>
            </w:r>
          </w:p>
        </w:tc>
      </w:tr>
    </w:tbl>
    <w:bookmarkEnd w:id="11"/>
    <w:bookmarkStart w:id="12" w:name="_f13bcc1fcea3a4cd495c1e337f5a6740c8a8fc3"/>
    <w:p>
      <w:pPr>
        <w:pStyle w:val="Heading3"/>
      </w:pPr>
      <w:r>
        <w:rPr>
          <w:rStyle w:val="SectionNumber"/>
        </w:rPr>
        <w:t xml:space="preserve">1.2.3</w:t>
      </w:r>
      <w:r>
        <w:tab/>
      </w:r>
      <w:r>
        <w:rPr>
          <w:rFonts w:hint="eastAsia"/>
        </w:rPr>
        <w:t xml:space="preserve">C类</w:t>
      </w:r>
      <w:r>
        <w:t xml:space="preserve"> — </w:t>
      </w:r>
      <w:r>
        <w:rPr>
          <w:rFonts w:hint="eastAsia"/>
        </w:rPr>
        <w:t xml:space="preserve">建议优化（提升报告质量）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编号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</w:t>
            </w:r>
          </w:p>
        </w:tc>
      </w:tr>
      <w:tr>
        <w:tc>
          <w:tcPr/>
          <w:p>
            <w:pPr>
              <w:pStyle w:val="Compact"/>
            </w:pPr>
            <w:r>
              <w:t xml:space="preserve">C1</w:t>
            </w:r>
          </w:p>
        </w:tc>
        <w:tc>
          <w:tcPr/>
          <w:p>
            <w:pPr>
              <w:pStyle w:val="Compact"/>
            </w:pPr>
            <w:r>
              <w:t xml:space="preserve">§8.2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检验策略为通用模板（10条原则），缺乏设备级个性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将附录2.2的逐台检验策略引用到§8.2，或在正文中概括提炼</w:t>
            </w:r>
          </w:p>
        </w:tc>
      </w:tr>
      <w:tr>
        <w:tc>
          <w:tcPr/>
          <w:p>
            <w:pPr>
              <w:pStyle w:val="Compact"/>
            </w:pPr>
            <w:r>
              <w:t xml:space="preserve">C2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附录2.2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296-V-0001I的检验策略重点部位未点名十字焊缝，但其同样存在多处十字焊缝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将296-V-0001I的”重点检验部位”从”重点工卡具焊迹、内表面无损检测”改为”重点工卡具焊迹、十字缝部位、内表面无损检测”（与296-V-0001J对齐）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2"/>
    <w:bookmarkEnd w:id="13"/>
    <w:bookmarkStart w:id="14" w:name="_三四台设备核心风险速览"/>
    <w:p>
      <w:pPr>
        <w:pStyle w:val="Heading2"/>
      </w:pPr>
      <w:r>
        <w:rPr>
          <w:rStyle w:val="SectionNumber"/>
        </w:rPr>
        <w:t xml:space="preserve">1.3</w:t>
      </w:r>
      <w:r>
        <w:tab/>
      </w:r>
      <w:r>
        <w:rPr>
          <w:rFonts w:hint="eastAsia"/>
        </w:rPr>
        <w:t xml:space="preserve">三、四台设备核心风险速览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设备位号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安全状况等级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风险等级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最大损伤因子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主导机理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关键风险点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建议下次检验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296-V-0001C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2E</w:t>
            </w:r>
          </w:p>
        </w:tc>
        <w:tc>
          <w:tcPr/>
          <w:p>
            <w:pPr>
              <w:pStyle w:val="Compact"/>
            </w:pPr>
            <w:r>
              <w:t xml:space="preserve">HIC/SOHIC=5.87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湿硫化氢破坏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无制造缺陷，风险可控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2027年8月（可维持）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296-V-0001I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2E</w:t>
            </w:r>
          </w:p>
        </w:tc>
        <w:tc>
          <w:tcPr/>
          <w:p>
            <w:pPr>
              <w:pStyle w:val="Compact"/>
            </w:pPr>
            <w:r>
              <w:t xml:space="preserve">HIC/SOHIC=7.18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湿硫化氢破坏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多处十字焊缝</w:t>
            </w:r>
            <w:r>
              <w:rPr>
                <w:rFonts w:hint="eastAsia"/>
              </w:rPr>
              <w:t xml:space="preserve">，SOHIC风险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2027年8月（注意：应≤6年周期上限）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296-V-0001J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2E</w:t>
            </w:r>
          </w:p>
        </w:tc>
        <w:tc>
          <w:tcPr/>
          <w:p>
            <w:pPr>
              <w:pStyle w:val="Compact"/>
            </w:pPr>
            <w:r>
              <w:t xml:space="preserve">HIC/SOHIC=8.50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湿硫化氢破坏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十字焊缝</w:t>
            </w:r>
            <w:r>
              <w:rPr>
                <w:b/>
                <w:bCs/>
              </w:rPr>
              <w:t xml:space="preserve"> + </w:t>
            </w:r>
            <w:r>
              <w:rPr>
                <w:rFonts w:hint="eastAsia"/>
                <w:b/>
                <w:bCs/>
              </w:rPr>
              <w:t xml:space="preserve">III级缺陷</w:t>
            </w:r>
            <w:r>
              <w:rPr>
                <w:rFonts w:hint="eastAsia"/>
              </w:rPr>
              <w:t xml:space="preserve">，FFS效期无裕量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建议提前至2027年3月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95-V-9201B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再热裂纹=10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再热裂纹</w:t>
            </w:r>
            <w:r>
              <w:t xml:space="preserve"> + </w:t>
            </w:r>
            <w:r>
              <w:rPr>
                <w:rFonts w:hint="eastAsia"/>
              </w:rPr>
              <w:t xml:space="preserve">湿硫化氢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07MnNiMoDR材质对再热裂纹敏感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2027年8月（可维持，注意再热裂纹）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4"/>
    <w:bookmarkStart w:id="15" w:name="_四修正优先级建议"/>
    <w:p>
      <w:pPr>
        <w:pStyle w:val="Heading2"/>
      </w:pPr>
      <w:r>
        <w:rPr>
          <w:rStyle w:val="SectionNumber"/>
        </w:rPr>
        <w:t xml:space="preserve">1.4</w:t>
      </w:r>
      <w:r>
        <w:tab/>
      </w:r>
      <w:r>
        <w:rPr>
          <w:rFonts w:hint="eastAsia"/>
        </w:rPr>
        <w:t xml:space="preserve">四、修正优先级建议</w:t>
      </w:r>
    </w:p>
    <w:p>
      <w:pPr>
        <w:pStyle w:val="FirstParagraph"/>
      </w:pPr>
      <w:r>
        <w:rPr>
          <w:rFonts w:hint="eastAsia"/>
          <w:b/>
          <w:bCs/>
        </w:rPr>
        <w:t xml:space="preserve">第一优先级（交付前必须修正）</w:t>
      </w:r>
      <w:r>
        <w:rPr>
          <w:rFonts w:hint="eastAsia"/>
        </w:rPr>
        <w:t xml:space="preserve">：A1、A2、A3、A4、A5</w:t>
      </w:r>
    </w:p>
    <w:p>
      <w:pPr>
        <w:pStyle w:val="BodyText"/>
      </w:pPr>
      <w:r>
        <w:rPr>
          <w:rFonts w:hint="eastAsia"/>
          <w:b/>
          <w:bCs/>
        </w:rPr>
        <w:t xml:space="preserve">第二优先级（交付前尽量修正）</w:t>
      </w:r>
      <w:r>
        <w:rPr>
          <w:rFonts w:hint="eastAsia"/>
        </w:rPr>
        <w:t xml:space="preserve">：B1、B2、B3</w:t>
      </w:r>
    </w:p>
    <w:p>
      <w:pPr>
        <w:pStyle w:val="BodyText"/>
      </w:pPr>
      <w:r>
        <w:rPr>
          <w:rFonts w:hint="eastAsia"/>
          <w:b/>
          <w:bCs/>
        </w:rPr>
        <w:t xml:space="preserve">第三优先级（下次修订时考虑）</w:t>
      </w:r>
      <w:r>
        <w:rPr>
          <w:rFonts w:hint="eastAsia"/>
        </w:rPr>
        <w:t xml:space="preserve">：B4、B5、B6、C1、C2</w:t>
      </w:r>
    </w:p>
    <w:p>
      <w:r>
        <w:pict>
          <v:rect style="width:0;height:1.5pt" o:hralign="center" o:hrstd="t" o:hr="t"/>
        </w:pict>
      </w:r>
    </w:p>
    <w:bookmarkEnd w:id="15"/>
    <w:bookmarkStart w:id="16" w:name="_五结论"/>
    <w:p>
      <w:pPr>
        <w:pStyle w:val="Heading2"/>
      </w:pPr>
      <w:r>
        <w:rPr>
          <w:rStyle w:val="SectionNumber"/>
        </w:rPr>
        <w:t xml:space="preserve">1.5</w:t>
      </w:r>
      <w:r>
        <w:tab/>
      </w:r>
      <w:r>
        <w:rPr>
          <w:rFonts w:hint="eastAsia"/>
        </w:rPr>
        <w:t xml:space="preserve">五、结论</w:t>
      </w:r>
    </w:p>
    <w:p>
      <w:pPr>
        <w:pStyle w:val="FirstParagraph"/>
      </w:pPr>
      <w:r>
        <w:rPr>
          <w:rFonts w:hint="eastAsia"/>
        </w:rPr>
        <w:t xml:space="preserve">本报告经补充附录后已形成完整文件。RBI定量计算结果（损伤因子、风险等级、检验周期）与损伤机理的整体匹配度良好。核心风险集中在296-V-0001J（十字焊缝</w:t>
      </w:r>
      <w:r>
        <w:t xml:space="preserve"> + </w:t>
      </w:r>
      <w:r>
        <w:rPr>
          <w:rFonts w:hint="eastAsia"/>
        </w:rPr>
        <w:t xml:space="preserve">III级缺陷</w:t>
      </w:r>
      <w:r>
        <w:t xml:space="preserve"> + </w:t>
      </w:r>
      <w:r>
        <w:rPr>
          <w:rFonts w:hint="eastAsia"/>
        </w:rPr>
        <w:t xml:space="preserve">FFS零裕量）和95-V-9201B（再热裂纹DF=10未在正文定性分析中体现）。</w:t>
      </w:r>
    </w:p>
    <w:p>
      <w:pPr>
        <w:pStyle w:val="BodyText"/>
      </w:pPr>
      <w:r>
        <w:rPr>
          <w:rFonts w:hint="eastAsia"/>
        </w:rPr>
        <w:t xml:space="preserve">修正A类5项问题后，报告可具备签发条件。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校对日期：2026年7月</w:t>
      </w:r>
    </w:p>
    <w:p>
      <w:pPr>
        <w:pStyle w:val="BodyText"/>
      </w:pPr>
      <w:r>
        <w:rPr>
          <w:rFonts w:hint="eastAsia"/>
          <w:i/>
          <w:iCs/>
        </w:rPr>
        <w:t xml:space="preserve">校对依据：API</w:t>
      </w:r>
      <w:r>
        <w:rPr>
          <w:i/>
          <w:iCs/>
        </w:rPr>
        <w:t xml:space="preserve"> 571-2020 §3.22 / §3.55 / §3.58 / </w:t>
      </w:r>
      <w:r>
        <w:rPr>
          <w:rFonts w:hint="eastAsia"/>
          <w:i/>
          <w:iCs/>
        </w:rPr>
        <w:t xml:space="preserve">§3.67；TSG</w:t>
      </w:r>
      <w:r>
        <w:rPr>
          <w:i/>
          <w:iCs/>
        </w:rPr>
        <w:t xml:space="preserve"> 21-2016 §4.2.1.3 / §8.1.6 / §8.10.1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RBI报告校对意见</dc:title>
  <dc:creator/>
  <cp:keywords/>
  <dcterms:created xsi:type="dcterms:W3CDTF">2026-10-14T03:23:33Z</dcterms:created>
  <dcterms:modified xsi:type="dcterms:W3CDTF">2026-10-14T03:23:33Z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