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独山子石化储运二部液体储运装置部分压力容器RBI评估报告</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rFonts w:hint="eastAsia"/>
        </w:rPr>
        <w:t xml:space="preserve">报告编号：2026-GJTJ-DSZSH-RBI-01</w:t>
      </w:r>
    </w:p>
    <w:p>
      <w:pPr>
        <w:pStyle w:val="BodyText"/>
      </w:pPr>
      <w:r>
        <w:rPr>
          <w:rFonts w:hint="eastAsia"/>
        </w:rPr>
        <w:t xml:space="preserve">中国石油天然气股份有限公司独山子石化分公司</w:t>
      </w:r>
    </w:p>
    <w:p>
      <w:pPr>
        <w:pStyle w:val="BodyText"/>
      </w:pPr>
      <w:r>
        <w:rPr>
          <w:rFonts w:hint="eastAsia"/>
        </w:rPr>
        <w:t xml:space="preserve">储运二部液体储运装置部分压力容器</w:t>
      </w:r>
    </w:p>
    <w:p>
      <w:pPr>
        <w:pStyle w:val="BodyText"/>
      </w:pPr>
      <w:r>
        <w:rPr>
          <w:rFonts w:hint="eastAsia"/>
        </w:rPr>
        <w:t xml:space="preserve">基于风险的检验(RBI)评估报告</w:t>
      </w:r>
    </w:p>
    <w:p>
      <w:pPr>
        <w:pStyle w:val="BodyText"/>
      </w:pPr>
      <w:r>
        <w:rPr>
          <w:rFonts w:hint="eastAsia"/>
        </w:rPr>
        <w:t xml:space="preserve">国机特种设备检验有限公司</w:t>
      </w:r>
    </w:p>
    <w:p>
      <w:pPr>
        <w:pStyle w:val="BodyText"/>
      </w:pPr>
      <w:r>
        <w:rPr>
          <w:rFonts w:hint="eastAsia"/>
        </w:rPr>
        <w:t xml:space="preserve">报告编号：2026-GJTJ-DSZSH-RBI-01</w:t>
      </w:r>
    </w:p>
    <w:p>
      <w:pPr>
        <w:pStyle w:val="BodyText"/>
      </w:pPr>
      <w:r>
        <w:rPr>
          <w:rFonts w:hint="eastAsia"/>
        </w:rPr>
        <w:t xml:space="preserve">中国石油天然气股份有限公司独山子石化分公司</w:t>
      </w:r>
    </w:p>
    <w:p>
      <w:pPr>
        <w:pStyle w:val="BodyText"/>
      </w:pPr>
      <w:r>
        <w:rPr>
          <w:rFonts w:hint="eastAsia"/>
        </w:rPr>
        <w:t xml:space="preserve">储运二部液体储运装置部分压力容器</w:t>
      </w:r>
    </w:p>
    <w:p>
      <w:pPr>
        <w:pStyle w:val="BodyText"/>
      </w:pPr>
      <w:r>
        <w:rPr>
          <w:rFonts w:hint="eastAsia"/>
        </w:rPr>
        <w:t xml:space="preserve">基于风险的检验(RBI)评估报告</w:t>
      </w:r>
    </w:p>
    <w:p>
      <w:pPr>
        <w:pStyle w:val="BodyText"/>
      </w:pPr>
      <w:r>
        <w:rPr>
          <w:rFonts w:hint="eastAsia"/>
        </w:rPr>
        <w:t xml:space="preserve">编制：</w:t>
      </w:r>
      <w:r>
        <w:t xml:space="preserve"> </w:t>
      </w:r>
      <w:r>
        <w:rPr>
          <w:rFonts w:hint="eastAsia"/>
        </w:rPr>
        <w:t xml:space="preserve">校对：</w:t>
      </w:r>
      <w:r>
        <w:t xml:space="preserve"> </w:t>
      </w:r>
      <w:r>
        <w:rPr>
          <w:rFonts w:hint="eastAsia"/>
        </w:rPr>
        <w:t xml:space="preserve">审核：</w:t>
      </w:r>
      <w:r>
        <w:t xml:space="preserve"> </w:t>
      </w:r>
      <w:r>
        <w:rPr>
          <w:rFonts w:hint="eastAsia"/>
        </w:rPr>
        <w:t xml:space="preserve">批准：</w:t>
      </w:r>
    </w:p>
    <w:p>
      <w:pPr>
        <w:pStyle w:val="BodyText"/>
      </w:pPr>
      <w:r>
        <w:rPr>
          <w:rFonts w:hint="eastAsia"/>
        </w:rPr>
        <w:t xml:space="preserve">国机特种设备检验有限公司</w:t>
      </w:r>
    </w:p>
    <w:p>
      <w:pPr>
        <w:pStyle w:val="BodyText"/>
      </w:pPr>
      <w:r>
        <w:rPr>
          <w:rFonts w:hint="eastAsia"/>
        </w:rPr>
        <w:t xml:space="preserve">2026年7月</w:t>
      </w:r>
    </w:p>
    <w:p>
      <w:pPr>
        <w:pStyle w:val="BodyText"/>
      </w:pPr>
      <w:r>
        <w:rPr>
          <w:rFonts w:hint="eastAsia"/>
        </w:rPr>
        <w:t xml:space="preserve">目</w:t>
      </w:r>
      <w:r>
        <w:t xml:space="preserve">　</w:t>
      </w:r>
      <w:r>
        <w:rPr>
          <w:rFonts w:hint="eastAsia"/>
        </w:rPr>
        <w:t xml:space="preserve">录</w:t>
      </w:r>
    </w:p>
    <w:p>
      <w:pPr>
        <w:pStyle w:val="Compact"/>
        <w:numPr>
          <w:ilvl w:val="0"/>
          <w:numId w:val="1001"/>
        </w:numPr>
      </w:pPr>
      <w:r>
        <w:rPr>
          <w:rFonts w:hint="eastAsia"/>
        </w:rPr>
        <w:t xml:space="preserve">项目综述</w:t>
      </w:r>
      <w:r>
        <w:t xml:space="preserve"> 1</w:t>
      </w:r>
    </w:p>
    <w:p>
      <w:pPr>
        <w:pStyle w:val="FirstParagraph"/>
      </w:pPr>
      <w:r>
        <w:t xml:space="preserve">1.1 </w:t>
      </w:r>
      <w:r>
        <w:rPr>
          <w:rFonts w:hint="eastAsia"/>
        </w:rPr>
        <w:t xml:space="preserve">概况</w:t>
      </w:r>
      <w:r>
        <w:t xml:space="preserve"> 1</w:t>
      </w:r>
    </w:p>
    <w:p>
      <w:pPr>
        <w:pStyle w:val="BodyText"/>
      </w:pPr>
      <w:r>
        <w:t xml:space="preserve">1.2 </w:t>
      </w:r>
      <w:r>
        <w:rPr>
          <w:rFonts w:hint="eastAsia"/>
        </w:rPr>
        <w:t xml:space="preserve">主要成果</w:t>
      </w:r>
      <w:r>
        <w:t xml:space="preserve"> 1</w:t>
      </w:r>
    </w:p>
    <w:p>
      <w:pPr>
        <w:pStyle w:val="FirstParagraph"/>
        <w:numPr>
          <w:ilvl w:val="0"/>
          <w:numId w:val="1002"/>
        </w:numPr>
      </w:pPr>
      <w:r>
        <w:rPr>
          <w:rFonts w:hint="eastAsia"/>
        </w:rPr>
        <w:t xml:space="preserve">RBI技术概述</w:t>
      </w:r>
      <w:r>
        <w:t xml:space="preserve"> 2</w:t>
      </w:r>
    </w:p>
    <w:p>
      <w:pPr>
        <w:pStyle w:val="FirstParagraph"/>
        <w:numPr>
          <w:ilvl w:val="0"/>
          <w:numId w:val="1002"/>
        </w:numPr>
      </w:pPr>
      <w:r>
        <w:rPr>
          <w:rFonts w:hint="eastAsia"/>
        </w:rPr>
        <w:t xml:space="preserve">项目实施执行或参照的标准、法规和资料</w:t>
      </w:r>
      <w:r>
        <w:t xml:space="preserve"> 3</w:t>
      </w:r>
    </w:p>
    <w:p>
      <w:pPr>
        <w:pStyle w:val="FirstParagraph"/>
      </w:pPr>
      <w:r>
        <w:t xml:space="preserve">3.1 </w:t>
      </w:r>
      <w:r>
        <w:rPr>
          <w:rFonts w:hint="eastAsia"/>
        </w:rPr>
        <w:t xml:space="preserve">项目实施的主要依据</w:t>
      </w:r>
      <w:r>
        <w:t xml:space="preserve"> 3</w:t>
      </w:r>
    </w:p>
    <w:p>
      <w:pPr>
        <w:pStyle w:val="BodyText"/>
      </w:pPr>
      <w:r>
        <w:t xml:space="preserve">3.2 </w:t>
      </w:r>
      <w:r>
        <w:rPr>
          <w:rFonts w:hint="eastAsia"/>
        </w:rPr>
        <w:t xml:space="preserve">其他参考标准、法规和资料</w:t>
      </w:r>
      <w:r>
        <w:t xml:space="preserve"> 4</w:t>
      </w:r>
    </w:p>
    <w:p>
      <w:pPr>
        <w:pStyle w:val="FirstParagraph"/>
        <w:numPr>
          <w:ilvl w:val="0"/>
          <w:numId w:val="1003"/>
        </w:numPr>
      </w:pPr>
      <w:r>
        <w:rPr>
          <w:rFonts w:hint="eastAsia"/>
        </w:rPr>
        <w:t xml:space="preserve">使用单位应用RBI条件审查</w:t>
      </w:r>
      <w:r>
        <w:t xml:space="preserve"> 4</w:t>
      </w:r>
    </w:p>
    <w:p>
      <w:pPr>
        <w:pStyle w:val="FirstParagraph"/>
        <w:numPr>
          <w:ilvl w:val="0"/>
          <w:numId w:val="1003"/>
        </w:numPr>
      </w:pPr>
      <w:r>
        <w:rPr>
          <w:rFonts w:hint="eastAsia"/>
        </w:rPr>
        <w:t xml:space="preserve">装置概况</w:t>
      </w:r>
      <w:r>
        <w:t xml:space="preserve"> 4</w:t>
      </w:r>
    </w:p>
    <w:p>
      <w:pPr>
        <w:pStyle w:val="FirstParagraph"/>
      </w:pPr>
      <w:r>
        <w:t xml:space="preserve">5.1 </w:t>
      </w:r>
      <w:r>
        <w:rPr>
          <w:rFonts w:hint="eastAsia"/>
        </w:rPr>
        <w:t xml:space="preserve">装置简介</w:t>
      </w:r>
      <w:r>
        <w:t xml:space="preserve"> 4</w:t>
      </w:r>
    </w:p>
    <w:p>
      <w:pPr>
        <w:pStyle w:val="BodyText"/>
      </w:pPr>
      <w:r>
        <w:t xml:space="preserve">5.2 </w:t>
      </w:r>
      <w:r>
        <w:rPr>
          <w:rFonts w:hint="eastAsia"/>
        </w:rPr>
        <w:t xml:space="preserve">装置评估设备统计</w:t>
      </w:r>
      <w:r>
        <w:t xml:space="preserve"> 5</w:t>
      </w:r>
    </w:p>
    <w:p>
      <w:pPr>
        <w:pStyle w:val="BodyText"/>
      </w:pPr>
      <w:r>
        <w:t xml:space="preserve">5.3 </w:t>
      </w:r>
      <w:r>
        <w:rPr>
          <w:rFonts w:hint="eastAsia"/>
        </w:rPr>
        <w:t xml:space="preserve">装置腐蚀定性分析</w:t>
      </w:r>
      <w:r>
        <w:t xml:space="preserve"> 5</w:t>
      </w:r>
    </w:p>
    <w:p>
      <w:pPr>
        <w:pStyle w:val="BodyText"/>
      </w:pPr>
      <w:r>
        <w:t xml:space="preserve">5.4 </w:t>
      </w:r>
      <w:r>
        <w:rPr>
          <w:rFonts w:hint="eastAsia"/>
        </w:rPr>
        <w:t xml:space="preserve">装置运行状况、检验历史</w:t>
      </w:r>
      <w:r>
        <w:t xml:space="preserve"> 8</w:t>
      </w:r>
    </w:p>
    <w:p>
      <w:pPr>
        <w:pStyle w:val="FirstParagraph"/>
        <w:numPr>
          <w:ilvl w:val="0"/>
          <w:numId w:val="1004"/>
        </w:numPr>
      </w:pPr>
      <w:r>
        <w:rPr>
          <w:rFonts w:hint="eastAsia"/>
        </w:rPr>
        <w:t xml:space="preserve">物流划分</w:t>
      </w:r>
      <w:r>
        <w:t xml:space="preserve"> 10</w:t>
      </w:r>
    </w:p>
    <w:p>
      <w:pPr>
        <w:pStyle w:val="FirstParagraph"/>
        <w:numPr>
          <w:ilvl w:val="0"/>
          <w:numId w:val="1004"/>
        </w:numPr>
      </w:pPr>
      <w:r>
        <w:rPr>
          <w:rFonts w:hint="eastAsia"/>
        </w:rPr>
        <w:t xml:space="preserve">风险分析结果</w:t>
      </w:r>
      <w:r>
        <w:t xml:space="preserve"> 10</w:t>
      </w:r>
    </w:p>
    <w:p>
      <w:pPr>
        <w:pStyle w:val="FirstParagraph"/>
      </w:pPr>
      <w:r>
        <w:t xml:space="preserve">7.1 </w:t>
      </w:r>
      <w:r>
        <w:rPr>
          <w:rFonts w:hint="eastAsia"/>
        </w:rPr>
        <w:t xml:space="preserve">风险分布</w:t>
      </w:r>
      <w:r>
        <w:t xml:space="preserve"> 10</w:t>
      </w:r>
    </w:p>
    <w:p>
      <w:pPr>
        <w:pStyle w:val="BodyText"/>
      </w:pPr>
      <w:r>
        <w:t xml:space="preserve">7.2 </w:t>
      </w:r>
      <w:r>
        <w:rPr>
          <w:rFonts w:hint="eastAsia"/>
        </w:rPr>
        <w:t xml:space="preserve">风险统计</w:t>
      </w:r>
      <w:r>
        <w:t xml:space="preserve"> 10</w:t>
      </w:r>
    </w:p>
    <w:p>
      <w:pPr>
        <w:pStyle w:val="BodyText"/>
      </w:pPr>
      <w:r>
        <w:t xml:space="preserve">7.3 </w:t>
      </w:r>
      <w:r>
        <w:rPr>
          <w:rFonts w:hint="eastAsia"/>
        </w:rPr>
        <w:t xml:space="preserve">高风险、高失效可能性设备原因分析</w:t>
      </w:r>
      <w:r>
        <w:t xml:space="preserve"> 11</w:t>
      </w:r>
    </w:p>
    <w:p>
      <w:pPr>
        <w:pStyle w:val="BodyText"/>
      </w:pPr>
      <w:r>
        <w:t xml:space="preserve">7.4 </w:t>
      </w:r>
      <w:r>
        <w:rPr>
          <w:rFonts w:hint="eastAsia"/>
        </w:rPr>
        <w:t xml:space="preserve">降险措施</w:t>
      </w:r>
      <w:r>
        <w:t xml:space="preserve"> 11</w:t>
      </w:r>
    </w:p>
    <w:p>
      <w:pPr>
        <w:pStyle w:val="Compact"/>
        <w:numPr>
          <w:ilvl w:val="0"/>
          <w:numId w:val="1005"/>
        </w:numPr>
      </w:pPr>
      <w:r>
        <w:rPr>
          <w:rFonts w:hint="eastAsia"/>
        </w:rPr>
        <w:t xml:space="preserve">检验策略</w:t>
      </w:r>
      <w:r>
        <w:t xml:space="preserve"> 11</w:t>
      </w:r>
    </w:p>
    <w:p>
      <w:pPr>
        <w:pStyle w:val="FirstParagraph"/>
      </w:pPr>
      <w:r>
        <w:t xml:space="preserve">8.1 </w:t>
      </w:r>
      <w:r>
        <w:rPr>
          <w:rFonts w:hint="eastAsia"/>
        </w:rPr>
        <w:t xml:space="preserve">检验策略制定的基本原则</w:t>
      </w:r>
      <w:r>
        <w:t xml:space="preserve"> 11</w:t>
      </w:r>
    </w:p>
    <w:p>
      <w:pPr>
        <w:pStyle w:val="BodyText"/>
      </w:pPr>
      <w:r>
        <w:t xml:space="preserve">8.2 </w:t>
      </w:r>
      <w:r>
        <w:rPr>
          <w:rFonts w:hint="eastAsia"/>
        </w:rPr>
        <w:t xml:space="preserve">设备检验策略</w:t>
      </w:r>
      <w:r>
        <w:t xml:space="preserve"> 11</w:t>
      </w:r>
    </w:p>
    <w:p>
      <w:pPr>
        <w:pStyle w:val="Compact"/>
        <w:numPr>
          <w:ilvl w:val="0"/>
          <w:numId w:val="1006"/>
        </w:numPr>
      </w:pPr>
      <w:r>
        <w:rPr>
          <w:rFonts w:hint="eastAsia"/>
        </w:rPr>
        <w:t xml:space="preserve">结束语</w:t>
      </w:r>
      <w:r>
        <w:t xml:space="preserve"> 12</w:t>
      </w:r>
    </w:p>
    <w:p>
      <w:pPr>
        <w:pStyle w:val="FirstParagraph"/>
      </w:pPr>
      <w:r>
        <w:rPr>
          <w:rFonts w:hint="eastAsia"/>
        </w:rPr>
        <w:t xml:space="preserve">附录</w:t>
      </w:r>
      <w:r>
        <w:t xml:space="preserve"> 13</w:t>
      </w:r>
    </w:p>
    <w:p>
      <w:pPr>
        <w:pStyle w:val="BodyText"/>
      </w:pPr>
      <w:r>
        <w:rPr>
          <w:rFonts w:hint="eastAsia"/>
        </w:rPr>
        <w:t xml:space="preserve">附录1.</w:t>
      </w:r>
      <w:r>
        <w:t xml:space="preserve"> </w:t>
      </w:r>
      <w:r>
        <w:rPr>
          <w:rFonts w:hint="eastAsia"/>
        </w:rPr>
        <w:t xml:space="preserve">液体储运装置设备基础数据表</w:t>
      </w:r>
      <w:r>
        <w:t xml:space="preserve"> 13</w:t>
      </w:r>
    </w:p>
    <w:p>
      <w:pPr>
        <w:pStyle w:val="BodyText"/>
      </w:pPr>
      <w:r>
        <w:rPr>
          <w:rFonts w:hint="eastAsia"/>
        </w:rPr>
        <w:t xml:space="preserve">附录2.</w:t>
      </w:r>
      <w:r>
        <w:t xml:space="preserve"> </w:t>
      </w:r>
      <w:r>
        <w:rPr>
          <w:rFonts w:hint="eastAsia"/>
        </w:rPr>
        <w:t xml:space="preserve">液体储运装置设备风险等级、损伤机理及检验策略</w:t>
      </w:r>
      <w:r>
        <w:t xml:space="preserve"> 13</w:t>
      </w:r>
    </w:p>
    <w:p>
      <w:pPr>
        <w:pStyle w:val="Compact"/>
        <w:numPr>
          <w:ilvl w:val="0"/>
          <w:numId w:val="1007"/>
        </w:numPr>
      </w:pPr>
      <w:r>
        <w:rPr>
          <w:rFonts w:hint="eastAsia"/>
        </w:rPr>
        <w:t xml:space="preserve">项目综述</w:t>
      </w:r>
    </w:p>
    <w:p>
      <w:pPr>
        <w:pStyle w:val="FirstParagraph"/>
      </w:pPr>
      <w:r>
        <w:t xml:space="preserve">1.1 </w:t>
      </w:r>
      <w:r>
        <w:rPr>
          <w:rFonts w:hint="eastAsia"/>
        </w:rPr>
        <w:t xml:space="preserve">概况</w:t>
      </w:r>
    </w:p>
    <w:p>
      <w:pPr>
        <w:pStyle w:val="BodyText"/>
      </w:pPr>
      <w:r>
        <w:rPr>
          <w:rFonts w:hint="eastAsia"/>
        </w:rPr>
        <w:t xml:space="preserve">受中国石油天然气股份有限公司独山子石化分公司(以下简称独山子石化)的委托，国机特种设备检验有限公司(以下简称国机特检)承担该公司储运二部液体储运装置部分压力容器基于风险的检验(Risk-Based</w:t>
      </w:r>
      <w:r>
        <w:t xml:space="preserve"> </w:t>
      </w:r>
      <w:r>
        <w:rPr>
          <w:rFonts w:hint="eastAsia"/>
        </w:rPr>
        <w:t xml:space="preserve">Inspection，RBI)项目。该项目是在独山子石化公司领导与装置工作人员的大力支持与配合下，利用我公司自主开发的RBI软件《通用石化装置工程风险分析系统》，结合国机特检在设备检验检测方面的技术优势、丰富的检验数据以及对国内石化企业进行RBI工作所积累的经验来完成。</w:t>
      </w:r>
    </w:p>
    <w:p>
      <w:pPr>
        <w:pStyle w:val="BodyText"/>
      </w:pPr>
      <w:r>
        <w:t xml:space="preserve">1.2 </w:t>
      </w:r>
      <w:r>
        <w:rPr>
          <w:rFonts w:hint="eastAsia"/>
        </w:rPr>
        <w:t xml:space="preserve">主要成果</w:t>
      </w:r>
    </w:p>
    <w:p>
      <w:pPr>
        <w:pStyle w:val="BodyText"/>
      </w:pPr>
      <w:r>
        <w:rPr>
          <w:rFonts w:hint="eastAsia"/>
        </w:rPr>
        <w:t xml:space="preserve">经过现场数据采集、录入、风险计算，国机特检对独山子石化储运二部液体储运装置部分压力容器进行风险评估，其中包括压力容器4台。经过风险评估得到：</w:t>
      </w:r>
    </w:p>
    <w:p>
      <w:pPr>
        <w:pStyle w:val="FirstParagraph"/>
        <w:numPr>
          <w:ilvl w:val="0"/>
          <w:numId w:val="1008"/>
        </w:numPr>
      </w:pPr>
      <w:r>
        <w:rPr>
          <w:rFonts w:hint="eastAsia"/>
        </w:rPr>
        <w:t xml:space="preserve">装置腐蚀定性分析。经过专家对本装置腐蚀的定性分析，认为评估范围内的重点腐蚀部位可能会出现湿硫化氢破坏和大气腐蚀。详见本报告5.3节。</w:t>
      </w:r>
    </w:p>
    <w:p>
      <w:pPr>
        <w:pStyle w:val="FirstParagraph"/>
        <w:numPr>
          <w:ilvl w:val="0"/>
          <w:numId w:val="1008"/>
        </w:numPr>
      </w:pPr>
      <w:r>
        <w:rPr>
          <w:rFonts w:hint="eastAsia"/>
        </w:rPr>
        <w:t xml:space="preserve">风险分布与统计。通过对装置评估范围内的设备进行风险计算，得到装置设备的风险分布情况与统计结果：</w:t>
      </w:r>
    </w:p>
    <w:tbl>
      <w:tblPr>
        <w:tblStyle w:val="Table"/>
        <w:tblW w:type="auto" w:w="0"/>
        <w:tblLook w:firstRow="1" w:lastRow="0" w:firstColumn="0" w:lastColumn="0" w:noHBand="0" w:noVBand="0" w:val="0020"/>
      </w:tblPr>
      <w:tblGrid>
        <w:gridCol w:w="880"/>
        <w:gridCol w:w="880"/>
        <w:gridCol w:w="880"/>
        <w:gridCol w:w="880"/>
        <w:gridCol w:w="880"/>
        <w:gridCol w:w="880"/>
        <w:gridCol w:w="880"/>
        <w:gridCol w:w="880"/>
        <w:gridCol w:w="880"/>
      </w:tblGrid>
      <w:tr>
        <w:trPr>
          <w:tblHeader w:val="on"/>
        </w:trPr>
        <w:tc>
          <w:tcPr/>
          <w:p>
            <w:pPr>
              <w:pStyle w:val="Compact"/>
            </w:pPr>
            <w:r>
              <w:rPr>
                <w:rFonts w:hint="eastAsia"/>
              </w:rPr>
              <w:t xml:space="preserve">类型</w:t>
            </w:r>
          </w:p>
        </w:tc>
        <w:tc>
          <w:tcPr/>
          <w:p>
            <w:pPr>
              <w:pStyle w:val="Compact"/>
            </w:pPr>
            <w:r>
              <w:rPr>
                <w:rFonts w:hint="eastAsia"/>
              </w:rPr>
              <w:t xml:space="preserve">高风险</w:t>
            </w:r>
          </w:p>
        </w:tc>
        <w:tc>
          <w:tcPr/>
          <w:p>
            <w:pPr>
              <w:pStyle w:val="Compact"/>
            </w:pPr>
          </w:p>
        </w:tc>
        <w:tc>
          <w:tcPr/>
          <w:p>
            <w:pPr>
              <w:pStyle w:val="Compact"/>
            </w:pPr>
            <w:r>
              <w:rPr>
                <w:rFonts w:hint="eastAsia"/>
              </w:rPr>
              <w:t xml:space="preserve">中高风险</w:t>
            </w:r>
          </w:p>
        </w:tc>
        <w:tc>
          <w:tcPr/>
          <w:p>
            <w:pPr>
              <w:pStyle w:val="Compact"/>
            </w:pPr>
          </w:p>
        </w:tc>
        <w:tc>
          <w:tcPr/>
          <w:p>
            <w:pPr>
              <w:pStyle w:val="Compact"/>
            </w:pPr>
            <w:r>
              <w:rPr>
                <w:rFonts w:hint="eastAsia"/>
              </w:rPr>
              <w:t xml:space="preserve">中风险</w:t>
            </w:r>
          </w:p>
        </w:tc>
        <w:tc>
          <w:tcPr/>
          <w:p>
            <w:pPr>
              <w:pStyle w:val="Compact"/>
            </w:pPr>
          </w:p>
        </w:tc>
        <w:tc>
          <w:tcPr/>
          <w:p>
            <w:pPr>
              <w:pStyle w:val="Compact"/>
            </w:pPr>
            <w:r>
              <w:rPr>
                <w:rFonts w:hint="eastAsia"/>
              </w:rPr>
              <w:t xml:space="preserve">低风险</w:t>
            </w:r>
          </w:p>
        </w:tc>
        <w:tc>
          <w:tcPr/>
          <w:p>
            <w:pPr>
              <w:pStyle w:val="Compact"/>
            </w:pPr>
          </w:p>
        </w:tc>
      </w:tr>
      <w:tr>
        <w:tc>
          <w:tcPr/>
          <w:p>
            <w:pPr>
              <w:pStyle w:val="Compact"/>
            </w:pPr>
          </w:p>
        </w:tc>
        <w:tc>
          <w:tcPr/>
          <w:p>
            <w:pPr>
              <w:pStyle w:val="Compact"/>
            </w:pPr>
            <w:r>
              <w:rPr>
                <w:rFonts w:hint="eastAsia"/>
              </w:rPr>
              <w:t xml:space="preserve">数量</w:t>
            </w:r>
          </w:p>
        </w:tc>
        <w:tc>
          <w:tcPr/>
          <w:p>
            <w:pPr>
              <w:pStyle w:val="Compact"/>
            </w:pPr>
            <w:r>
              <w:rPr>
                <w:rFonts w:hint="eastAsia"/>
              </w:rPr>
              <w:t xml:space="preserve">比例</w:t>
            </w:r>
          </w:p>
        </w:tc>
        <w:tc>
          <w:tcPr/>
          <w:p>
            <w:pPr>
              <w:pStyle w:val="Compact"/>
            </w:pPr>
            <w:r>
              <w:rPr>
                <w:rFonts w:hint="eastAsia"/>
              </w:rPr>
              <w:t xml:space="preserve">数量</w:t>
            </w:r>
          </w:p>
        </w:tc>
        <w:tc>
          <w:tcPr/>
          <w:p>
            <w:pPr>
              <w:pStyle w:val="Compact"/>
            </w:pPr>
            <w:r>
              <w:rPr>
                <w:rFonts w:hint="eastAsia"/>
              </w:rPr>
              <w:t xml:space="preserve">比例</w:t>
            </w:r>
          </w:p>
        </w:tc>
        <w:tc>
          <w:tcPr/>
          <w:p>
            <w:pPr>
              <w:pStyle w:val="Compact"/>
            </w:pPr>
            <w:r>
              <w:rPr>
                <w:rFonts w:hint="eastAsia"/>
              </w:rPr>
              <w:t xml:space="preserve">数量</w:t>
            </w:r>
          </w:p>
        </w:tc>
        <w:tc>
          <w:tcPr/>
          <w:p>
            <w:pPr>
              <w:pStyle w:val="Compact"/>
            </w:pPr>
            <w:r>
              <w:rPr>
                <w:rFonts w:hint="eastAsia"/>
              </w:rPr>
              <w:t xml:space="preserve">比例</w:t>
            </w:r>
          </w:p>
        </w:tc>
        <w:tc>
          <w:tcPr/>
          <w:p>
            <w:pPr>
              <w:pStyle w:val="Compact"/>
            </w:pPr>
            <w:r>
              <w:rPr>
                <w:rFonts w:hint="eastAsia"/>
              </w:rPr>
              <w:t xml:space="preserve">数量</w:t>
            </w:r>
          </w:p>
        </w:tc>
        <w:tc>
          <w:tcPr/>
          <w:p>
            <w:pPr>
              <w:pStyle w:val="Compact"/>
            </w:pPr>
            <w:r>
              <w:rPr>
                <w:rFonts w:hint="eastAsia"/>
              </w:rPr>
              <w:t xml:space="preserve">比例</w:t>
            </w:r>
          </w:p>
        </w:tc>
      </w:tr>
      <w:tr>
        <w:tc>
          <w:tcPr/>
          <w:p>
            <w:pPr>
              <w:pStyle w:val="Compact"/>
            </w:pPr>
            <w:r>
              <w:rPr>
                <w:rFonts w:hint="eastAsia"/>
              </w:rPr>
              <w:t xml:space="preserve">设备（台）</w:t>
            </w:r>
          </w:p>
        </w:tc>
        <w:tc>
          <w:tcPr/>
          <w:p>
            <w:pPr>
              <w:pStyle w:val="Compact"/>
            </w:pPr>
            <w:r>
              <w:t xml:space="preserve">-</w:t>
            </w:r>
          </w:p>
        </w:tc>
        <w:tc>
          <w:tcPr/>
          <w:p>
            <w:pPr>
              <w:pStyle w:val="Compact"/>
            </w:pPr>
            <w:r>
              <w:t xml:space="preserve">-</w:t>
            </w:r>
          </w:p>
        </w:tc>
        <w:tc>
          <w:tcPr/>
          <w:p>
            <w:pPr>
              <w:pStyle w:val="Compact"/>
            </w:pPr>
            <w:r>
              <w:t xml:space="preserve">3</w:t>
            </w:r>
          </w:p>
        </w:tc>
        <w:tc>
          <w:tcPr/>
          <w:p>
            <w:pPr>
              <w:pStyle w:val="Compact"/>
            </w:pPr>
            <w:r>
              <w:t xml:space="preserve">75.00%</w:t>
            </w:r>
          </w:p>
        </w:tc>
        <w:tc>
          <w:tcPr/>
          <w:p>
            <w:pPr>
              <w:pStyle w:val="Compact"/>
            </w:pPr>
            <w:r>
              <w:t xml:space="preserve">1</w:t>
            </w:r>
          </w:p>
        </w:tc>
        <w:tc>
          <w:tcPr/>
          <w:p>
            <w:pPr>
              <w:pStyle w:val="Compact"/>
            </w:pPr>
            <w:r>
              <w:t xml:space="preserve">25.00%</w:t>
            </w:r>
          </w:p>
        </w:tc>
        <w:tc>
          <w:tcPr/>
          <w:p>
            <w:pPr>
              <w:pStyle w:val="Compact"/>
            </w:pPr>
            <w:r>
              <w:t xml:space="preserve">-</w:t>
            </w:r>
          </w:p>
        </w:tc>
        <w:tc>
          <w:tcPr/>
          <w:p>
            <w:pPr>
              <w:pStyle w:val="Compact"/>
            </w:pPr>
            <w:r>
              <w:t xml:space="preserve">-</w:t>
            </w:r>
          </w:p>
        </w:tc>
      </w:tr>
    </w:tbl>
    <w:p>
      <w:pPr>
        <w:pStyle w:val="FirstParagraph"/>
        <w:numPr>
          <w:ilvl w:val="0"/>
          <w:numId w:val="1009"/>
        </w:numPr>
      </w:pPr>
      <w:r>
        <w:rPr>
          <w:rFonts w:hint="eastAsia"/>
        </w:rPr>
        <w:t xml:space="preserve">风险评估期限。本次评估起始时间为设备最近一次定期检验时间，报告中设备的风险为基于2027年8月的风险计算结果。</w:t>
      </w:r>
    </w:p>
    <w:p>
      <w:pPr>
        <w:pStyle w:val="FirstParagraph"/>
        <w:numPr>
          <w:ilvl w:val="0"/>
          <w:numId w:val="1009"/>
        </w:numPr>
      </w:pPr>
      <w:r>
        <w:rPr>
          <w:rFonts w:hint="eastAsia"/>
        </w:rPr>
        <w:t xml:space="preserve">检验策略。根据装置设备的风险状况及损伤机理分布状况，制定有针对性的检验策略，包括重点检测部位、检测方法与检测比例，为检验机构制定检验方案提供参考，详见附录2。</w:t>
      </w:r>
    </w:p>
    <w:p>
      <w:pPr>
        <w:pStyle w:val="FirstParagraph"/>
        <w:numPr>
          <w:ilvl w:val="0"/>
          <w:numId w:val="1009"/>
        </w:numPr>
      </w:pPr>
      <w:r>
        <w:rPr>
          <w:rFonts w:hint="eastAsia"/>
        </w:rPr>
        <w:t xml:space="preserve">下次检验时间。根据风险分析结果，在运行和维护满足安全生产要求的条件下，液体储运装置本次评估范围内的设备296-V-0001J因经合于使用评价（见本报告表5-3），检验周期相应缩短，下次检验时间为2027年6月30日；296-V-0001C、296-V-0001I、95-V-9201B三台设备下次检验时间为2027年8月31日，详见附录2。</w:t>
      </w:r>
    </w:p>
    <w:p>
      <w:pPr>
        <w:pStyle w:val="FirstParagraph"/>
      </w:pPr>
      <w:r>
        <w:rPr>
          <w:rFonts w:hint="eastAsia"/>
        </w:rPr>
        <w:t xml:space="preserve">其他通过风险评估得到的结论，将在正文中逐一阐述。</w:t>
      </w:r>
    </w:p>
    <w:p>
      <w:pPr>
        <w:pStyle w:val="Compact"/>
        <w:numPr>
          <w:ilvl w:val="0"/>
          <w:numId w:val="1010"/>
        </w:numPr>
      </w:pPr>
      <w:r>
        <w:rPr>
          <w:rFonts w:hint="eastAsia"/>
        </w:rPr>
        <w:t xml:space="preserve">RBI技术概述</w:t>
      </w:r>
    </w:p>
    <w:p>
      <w:pPr>
        <w:pStyle w:val="FirstParagraph"/>
      </w:pPr>
      <w:r>
        <w:rPr>
          <w:rFonts w:hint="eastAsia"/>
        </w:rPr>
        <w:t xml:space="preserve">基于风险的检验(Risk-Based</w:t>
      </w:r>
      <w:r>
        <w:t xml:space="preserve"> </w:t>
      </w:r>
      <w:r>
        <w:rPr>
          <w:rFonts w:hint="eastAsia"/>
        </w:rPr>
        <w:t xml:space="preserve">Inspection，RBI)是一种追求系统安全性与经济性统一的理念与方法，它是在对系统中固有的或潜在的危险发生的可能性与后果进行科学分析的基础上，给出风险排序，找出薄弱环节，以确保本质安全和减少运行费用为目标，优化检验策略的一种管理方式。</w:t>
      </w:r>
    </w:p>
    <w:p>
      <w:pPr>
        <w:pStyle w:val="BodyText"/>
      </w:pPr>
      <w:r>
        <w:rPr>
          <w:rFonts w:hint="eastAsia"/>
        </w:rPr>
        <w:t xml:space="preserve">20世纪90年代初期，欧美二十余家石化企业集团为了在安全的前提下降低运行成本，共同资助美国石油学会(API)开展RBI在石化企业(主要是炼油厂)的应用研究工作。1996年API公布了RBI基础资源文件API</w:t>
      </w:r>
      <w:r>
        <w:t xml:space="preserve"> BRD </w:t>
      </w:r>
      <w:r>
        <w:rPr>
          <w:rFonts w:hint="eastAsia"/>
        </w:rPr>
        <w:t xml:space="preserve">581的草案，2000年5月又公布API</w:t>
      </w:r>
      <w:r>
        <w:t xml:space="preserve"> </w:t>
      </w:r>
      <w:r>
        <w:rPr>
          <w:rFonts w:hint="eastAsia"/>
        </w:rPr>
        <w:t xml:space="preserve">581正式文件。2002年5月正式颁布了RBI标准API</w:t>
      </w:r>
      <w:r>
        <w:t xml:space="preserve"> RP </w:t>
      </w:r>
      <w:r>
        <w:rPr>
          <w:rFonts w:hint="eastAsia"/>
        </w:rPr>
        <w:t xml:space="preserve">580。十多年来，西方发达国家以及亚洲的韩国、新加坡等国家和地区的石化炼油厂广泛应用了RBI方法进行成套装置中的承压设备的检验与维修，使得风险和检验维修费用都大幅度下降，取得了良好的应用效果。</w:t>
      </w:r>
    </w:p>
    <w:p>
      <w:pPr>
        <w:pStyle w:val="BodyText"/>
      </w:pPr>
      <w:r>
        <w:rPr>
          <w:rFonts w:hint="eastAsia"/>
        </w:rPr>
        <w:t xml:space="preserve">20世纪末期，中国有关高校与研究机构引入RBI概念。近年来，国家科技部及中石油、中石化也设立多项科研项目支持这项工作。国机特种设备检验有限公司等单位已成功将该技术应用于我国石化装置承压设备的风险评估，并自2003年起陆续在独山子石化、镇海炼化、大连西太平洋石化、大庆石化、抚顺石化、大连石化、独山子石化、齐鲁石化、扬子石化、福建炼化等石化企业完成了2000余套石化装置风险评估工作。</w:t>
      </w:r>
    </w:p>
    <w:p>
      <w:pPr>
        <w:pStyle w:val="BodyText"/>
      </w:pPr>
      <w:r>
        <w:rPr>
          <w:rFonts w:hint="eastAsia"/>
        </w:rPr>
        <w:t xml:space="preserve">RBI技术在西方一些发达国家已陆续应用于石化装置评价，已有了大量定性、定量RBI案例。但国外的RBI技术成果是基于所在国的工业水平、设备管理水平和设备基础数据的，可以为RBI在我国石化装置系统的应用提供参考，但不能完全照搬。为在国内石化企业应用RBI技术，国机特种设备检验有限公司等单位在引进RBI技术的同时，不断进行适合我国国情的技术转化，通过2000余套石化装置的RBI实践，积累了丰富RBI工程应用的经验。</w:t>
      </w:r>
    </w:p>
    <w:p>
      <w:pPr>
        <w:pStyle w:val="BodyText"/>
      </w:pPr>
      <w:r>
        <w:rPr>
          <w:rFonts w:hint="eastAsia"/>
        </w:rPr>
        <w:t xml:space="preserve">相对于RBI来说，传统的检验未能将经济性和安全性以及可能存在的失效风险有机地结合起来，检验的频率和程度与受检设备的风险不相称。通常，检验并不是系统地针对高风险设备。然而，运行的经济性要求延长每次停机检验的间隔周期。因此，随着检测、诊断技术的发展和设备多年的运行经验积累，一种新型的风险检验概念被引入国际上大中型石化能源工业，用于提高设备运行的可靠性并降低检验成本，经过实践被证明是一种高效的风险分析工具。对企业而言，进行RBI工作的主要意义体现在以下几方面：</w:t>
      </w:r>
    </w:p>
    <w:p>
      <w:pPr>
        <w:pStyle w:val="BodyText"/>
      </w:pPr>
      <w:r>
        <w:rPr>
          <w:rFonts w:hint="eastAsia"/>
        </w:rPr>
        <w:t xml:space="preserve">确保设备本质安全；</w:t>
      </w:r>
    </w:p>
    <w:p>
      <w:pPr>
        <w:pStyle w:val="BodyText"/>
      </w:pPr>
      <w:r>
        <w:rPr>
          <w:rFonts w:hint="eastAsia"/>
        </w:rPr>
        <w:t xml:space="preserve">提供优化的检验策略：</w:t>
      </w:r>
    </w:p>
    <w:p>
      <w:pPr>
        <w:pStyle w:val="BodyText"/>
      </w:pPr>
      <w:r>
        <w:rPr>
          <w:rFonts w:hint="eastAsia"/>
        </w:rPr>
        <w:t xml:space="preserve">识别潜在的高风险设备；</w:t>
      </w:r>
    </w:p>
    <w:p>
      <w:pPr>
        <w:pStyle w:val="BodyText"/>
      </w:pPr>
      <w:r>
        <w:rPr>
          <w:rFonts w:hint="eastAsia"/>
        </w:rPr>
        <w:t xml:space="preserve">采用针对性的检验技术来进行检验；</w:t>
      </w:r>
    </w:p>
    <w:p>
      <w:pPr>
        <w:pStyle w:val="BodyText"/>
      </w:pPr>
      <w:r>
        <w:rPr>
          <w:rFonts w:hint="eastAsia"/>
        </w:rPr>
        <w:t xml:space="preserve">编制与风险相适应的检验规程。</w:t>
      </w:r>
    </w:p>
    <w:p>
      <w:pPr>
        <w:pStyle w:val="BodyText"/>
      </w:pPr>
      <w:r>
        <w:rPr>
          <w:rFonts w:hint="eastAsia"/>
        </w:rPr>
        <w:t xml:space="preserve">降低在役运行费用：</w:t>
      </w:r>
    </w:p>
    <w:p>
      <w:pPr>
        <w:pStyle w:val="BodyText"/>
      </w:pPr>
      <w:r>
        <w:rPr>
          <w:rFonts w:hint="eastAsia"/>
        </w:rPr>
        <w:t xml:space="preserve">根据不同设备的危险程度来确定检验周期；</w:t>
      </w:r>
    </w:p>
    <w:p>
      <w:pPr>
        <w:pStyle w:val="BodyText"/>
      </w:pPr>
      <w:r>
        <w:rPr>
          <w:rFonts w:hint="eastAsia"/>
        </w:rPr>
        <w:t xml:space="preserve">检验费用重点投入装置中高风险设备；</w:t>
      </w:r>
    </w:p>
    <w:p>
      <w:pPr>
        <w:pStyle w:val="BodyText"/>
      </w:pPr>
      <w:r>
        <w:rPr>
          <w:rFonts w:hint="eastAsia"/>
        </w:rPr>
        <w:t xml:space="preserve">根据风险来确定停机范围。</w:t>
      </w:r>
    </w:p>
    <w:p>
      <w:pPr>
        <w:pStyle w:val="BodyText"/>
      </w:pPr>
      <w:r>
        <w:rPr>
          <w:rFonts w:hint="eastAsia"/>
        </w:rPr>
        <w:t xml:space="preserve">延长设备运行时间：</w:t>
      </w:r>
    </w:p>
    <w:p>
      <w:pPr>
        <w:pStyle w:val="BodyText"/>
      </w:pPr>
      <w:r>
        <w:rPr>
          <w:rFonts w:hint="eastAsia"/>
        </w:rPr>
        <w:t xml:space="preserve">减少停工时间；</w:t>
      </w:r>
    </w:p>
    <w:p>
      <w:pPr>
        <w:pStyle w:val="BodyText"/>
      </w:pPr>
      <w:r>
        <w:rPr>
          <w:rFonts w:hint="eastAsia"/>
        </w:rPr>
        <w:t xml:space="preserve">通过延长检验周期来减少停机检验次数；</w:t>
      </w:r>
    </w:p>
    <w:p>
      <w:pPr>
        <w:pStyle w:val="BodyText"/>
      </w:pPr>
      <w:r>
        <w:rPr>
          <w:rFonts w:hint="eastAsia"/>
        </w:rPr>
        <w:t xml:space="preserve">缩小停机检验的范围；</w:t>
      </w:r>
    </w:p>
    <w:p>
      <w:pPr>
        <w:pStyle w:val="BodyText"/>
      </w:pPr>
      <w:r>
        <w:rPr>
          <w:rFonts w:hint="eastAsia"/>
        </w:rPr>
        <w:t xml:space="preserve">提高检验的效率，优化检验计划和检验策略，减少可靠设备的不必要的例行检验内容，增加针对性检验内容。</w:t>
      </w:r>
    </w:p>
    <w:p>
      <w:pPr>
        <w:pStyle w:val="BodyText"/>
      </w:pPr>
      <w:r>
        <w:rPr>
          <w:rFonts w:hint="eastAsia"/>
        </w:rPr>
        <w:t xml:space="preserve">判定和管理装置的安全水平，定义出风险大小、性质及实施的风险消除手段和验收准则。</w:t>
      </w:r>
    </w:p>
    <w:p>
      <w:pPr>
        <w:pStyle w:val="BodyText"/>
      </w:pPr>
      <w:r>
        <w:rPr>
          <w:rFonts w:hint="eastAsia"/>
        </w:rPr>
        <w:t xml:space="preserve">但风险评估不能识别由于人为失误、自然灾害、外部事件、人为破坏、检测能力限制、设计错误、偏离设计工况等因素造成的风险。</w:t>
      </w:r>
    </w:p>
    <w:p>
      <w:pPr>
        <w:pStyle w:val="Compact"/>
        <w:numPr>
          <w:ilvl w:val="0"/>
          <w:numId w:val="1011"/>
        </w:numPr>
      </w:pPr>
      <w:r>
        <w:rPr>
          <w:rFonts w:hint="eastAsia"/>
        </w:rPr>
        <w:t xml:space="preserve">项目实施执行或参照的标准、法规和资料</w:t>
      </w:r>
    </w:p>
    <w:p>
      <w:pPr>
        <w:pStyle w:val="FirstParagraph"/>
      </w:pPr>
      <w:r>
        <w:t xml:space="preserve">3.1 </w:t>
      </w:r>
      <w:r>
        <w:rPr>
          <w:rFonts w:hint="eastAsia"/>
        </w:rPr>
        <w:t xml:space="preserve">项目实施的主要依据</w:t>
      </w:r>
    </w:p>
    <w:p>
      <w:pPr>
        <w:pStyle w:val="BodyText"/>
      </w:pPr>
      <w:r>
        <w:t xml:space="preserve">TSG 21-2016 </w:t>
      </w:r>
      <w:r>
        <w:rPr>
          <w:rFonts w:hint="eastAsia"/>
        </w:rPr>
        <w:t xml:space="preserve">《固定式压力容器安全技术监察规程》</w:t>
      </w:r>
    </w:p>
    <w:p>
      <w:pPr>
        <w:pStyle w:val="BodyText"/>
      </w:pPr>
      <w:r>
        <w:t xml:space="preserve">GB/T 26610.1-2022 </w:t>
      </w:r>
      <w:r>
        <w:rPr>
          <w:rFonts w:hint="eastAsia"/>
        </w:rPr>
        <w:t xml:space="preserve">《承压设备系统基于风险的检验实施导则</w:t>
      </w:r>
      <w:r>
        <w:t xml:space="preserve"> </w:t>
      </w:r>
      <w:r>
        <w:rPr>
          <w:rFonts w:hint="eastAsia"/>
        </w:rPr>
        <w:t xml:space="preserve">第1部分：基本要求和实施程序》</w:t>
      </w:r>
    </w:p>
    <w:p>
      <w:pPr>
        <w:pStyle w:val="BodyText"/>
      </w:pPr>
      <w:r>
        <w:t xml:space="preserve">GB/T 26610.2-2022 </w:t>
      </w:r>
      <w:r>
        <w:rPr>
          <w:rFonts w:hint="eastAsia"/>
        </w:rPr>
        <w:t xml:space="preserve">《承压设备系统基于风险的检验实施导则</w:t>
      </w:r>
      <w:r>
        <w:t xml:space="preserve"> </w:t>
      </w:r>
      <w:r>
        <w:rPr>
          <w:rFonts w:hint="eastAsia"/>
        </w:rPr>
        <w:t xml:space="preserve">第2部分：基于风险的检验策略》</w:t>
      </w:r>
    </w:p>
    <w:p>
      <w:pPr>
        <w:pStyle w:val="BodyText"/>
      </w:pPr>
      <w:r>
        <w:t xml:space="preserve">GB/T 26610.3-2014 </w:t>
      </w:r>
      <w:r>
        <w:rPr>
          <w:rFonts w:hint="eastAsia"/>
        </w:rPr>
        <w:t xml:space="preserve">《承压设备系统基于风险的检验实施导则</w:t>
      </w:r>
      <w:r>
        <w:t xml:space="preserve"> </w:t>
      </w:r>
      <w:r>
        <w:rPr>
          <w:rFonts w:hint="eastAsia"/>
        </w:rPr>
        <w:t xml:space="preserve">第3部分：风险的定性分析方法》</w:t>
      </w:r>
    </w:p>
    <w:p>
      <w:pPr>
        <w:pStyle w:val="BodyText"/>
      </w:pPr>
      <w:r>
        <w:t xml:space="preserve">GB/T 26610.4-2022 </w:t>
      </w:r>
      <w:r>
        <w:rPr>
          <w:rFonts w:hint="eastAsia"/>
        </w:rPr>
        <w:t xml:space="preserve">《承压设备系统基于风险的检验实施导则</w:t>
      </w:r>
      <w:r>
        <w:t xml:space="preserve"> </w:t>
      </w:r>
      <w:r>
        <w:rPr>
          <w:rFonts w:hint="eastAsia"/>
        </w:rPr>
        <w:t xml:space="preserve">第4部分：失效可能性定量分析方法》</w:t>
      </w:r>
    </w:p>
    <w:p>
      <w:pPr>
        <w:pStyle w:val="BodyText"/>
      </w:pPr>
      <w:r>
        <w:t xml:space="preserve">GB/T 26610.5-2022 </w:t>
      </w:r>
      <w:r>
        <w:rPr>
          <w:rFonts w:hint="eastAsia"/>
        </w:rPr>
        <w:t xml:space="preserve">《承压设备系统基于风险的检验实施导则</w:t>
      </w:r>
      <w:r>
        <w:t xml:space="preserve"> </w:t>
      </w:r>
      <w:r>
        <w:rPr>
          <w:rFonts w:hint="eastAsia"/>
        </w:rPr>
        <w:t xml:space="preserve">第5部分：失效后果定量分析方法》</w:t>
      </w:r>
    </w:p>
    <w:p>
      <w:pPr>
        <w:pStyle w:val="BodyText"/>
      </w:pPr>
      <w:r>
        <w:t xml:space="preserve">GB/T 30579-2022 </w:t>
      </w:r>
      <w:r>
        <w:rPr>
          <w:rFonts w:hint="eastAsia"/>
        </w:rPr>
        <w:t xml:space="preserve">《承压设备损伤模式识别》</w:t>
      </w:r>
    </w:p>
    <w:p>
      <w:pPr>
        <w:pStyle w:val="BodyText"/>
      </w:pPr>
      <w:r>
        <w:t xml:space="preserve">3.2 </w:t>
      </w:r>
      <w:r>
        <w:rPr>
          <w:rFonts w:hint="eastAsia"/>
        </w:rPr>
        <w:t xml:space="preserve">其他参考标准、法规和资料</w:t>
      </w:r>
    </w:p>
    <w:p>
      <w:pPr>
        <w:pStyle w:val="BodyText"/>
      </w:pPr>
      <w:r>
        <w:rPr>
          <w:rFonts w:hint="eastAsia"/>
        </w:rPr>
        <w:t xml:space="preserve">《中华人民共和国特种设备安全法》</w:t>
      </w:r>
    </w:p>
    <w:p>
      <w:pPr>
        <w:pStyle w:val="BodyText"/>
      </w:pPr>
      <w:r>
        <w:rPr>
          <w:rFonts w:hint="eastAsia"/>
        </w:rPr>
        <w:t xml:space="preserve">《特种设备安全监察条例》</w:t>
      </w:r>
    </w:p>
    <w:p>
      <w:pPr>
        <w:pStyle w:val="BodyText"/>
      </w:pPr>
      <w:r>
        <w:t xml:space="preserve">API 581 Risk-Based Inspection Methodology</w:t>
      </w:r>
    </w:p>
    <w:p>
      <w:pPr>
        <w:pStyle w:val="BodyText"/>
      </w:pPr>
      <w:r>
        <w:t xml:space="preserve">CRTD-Vol.20 Risk-Based Inspection - Development of Guidelines</w:t>
      </w:r>
    </w:p>
    <w:p>
      <w:pPr>
        <w:pStyle w:val="BodyText"/>
      </w:pPr>
      <w:r>
        <w:t xml:space="preserve">API 580 Risk-Based Inspection</w:t>
      </w:r>
    </w:p>
    <w:p>
      <w:pPr>
        <w:pStyle w:val="BodyText"/>
      </w:pPr>
      <w:r>
        <w:t xml:space="preserve">API 571 Damage Mechanisms Affecting Fixed Equipment in the Refining Industry</w:t>
      </w:r>
    </w:p>
    <w:p>
      <w:pPr>
        <w:pStyle w:val="BodyText"/>
      </w:pPr>
      <w:r>
        <w:t xml:space="preserve">API 579 Fitness for Service</w:t>
      </w:r>
    </w:p>
    <w:p>
      <w:pPr>
        <w:pStyle w:val="BodyText"/>
      </w:pPr>
      <w:r>
        <w:t xml:space="preserve">API 750 Management of Process Hazards</w:t>
      </w:r>
    </w:p>
    <w:p>
      <w:pPr>
        <w:pStyle w:val="BodyText"/>
      </w:pPr>
      <w:r>
        <w:rPr>
          <w:rFonts w:hint="eastAsia"/>
        </w:rPr>
        <w:t xml:space="preserve">OSHA规范1910.119</w:t>
      </w:r>
      <w:r>
        <w:t xml:space="preserve"> Process Safety Management of Highly Hazardous Chemicals Standard</w:t>
      </w:r>
    </w:p>
    <w:p>
      <w:pPr>
        <w:pStyle w:val="BodyText"/>
      </w:pPr>
      <w:r>
        <w:rPr>
          <w:rFonts w:hint="eastAsia"/>
        </w:rPr>
        <w:t xml:space="preserve">装置设计、制造、安装、检验、运行记录等有关资料</w:t>
      </w:r>
    </w:p>
    <w:p>
      <w:pPr>
        <w:pStyle w:val="Compact"/>
        <w:numPr>
          <w:ilvl w:val="0"/>
          <w:numId w:val="1012"/>
        </w:numPr>
      </w:pPr>
      <w:r>
        <w:rPr>
          <w:rFonts w:hint="eastAsia"/>
        </w:rPr>
        <w:t xml:space="preserve">使用单位应用RBI条件审查</w:t>
      </w:r>
    </w:p>
    <w:p>
      <w:pPr>
        <w:pStyle w:val="FirstParagraph"/>
      </w:pPr>
      <w:r>
        <w:rPr>
          <w:rFonts w:hint="eastAsia"/>
        </w:rPr>
        <w:t xml:space="preserve">经资料审核，使用单位通过了上级主管单位对其进行的安全管理评价，符合TSG</w:t>
      </w:r>
      <w:r>
        <w:t xml:space="preserve"> </w:t>
      </w:r>
      <w:r>
        <w:rPr>
          <w:rFonts w:hint="eastAsia"/>
        </w:rPr>
        <w:t xml:space="preserve">21-2016《固定式压力容器安全技术监察规程》第8.10.1条的要求，可以应用基于风险的检验（RBI）技术。</w:t>
      </w:r>
    </w:p>
    <w:p>
      <w:pPr>
        <w:pStyle w:val="Compact"/>
        <w:numPr>
          <w:ilvl w:val="0"/>
          <w:numId w:val="1013"/>
        </w:numPr>
      </w:pPr>
      <w:r>
        <w:rPr>
          <w:rFonts w:hint="eastAsia"/>
        </w:rPr>
        <w:t xml:space="preserve">装置概况</w:t>
      </w:r>
    </w:p>
    <w:p>
      <w:pPr>
        <w:pStyle w:val="FirstParagraph"/>
      </w:pPr>
      <w:r>
        <w:t xml:space="preserve">5.1 </w:t>
      </w:r>
      <w:r>
        <w:rPr>
          <w:rFonts w:hint="eastAsia"/>
        </w:rPr>
        <w:t xml:space="preserve">装置简介</w:t>
      </w:r>
    </w:p>
    <w:p>
      <w:pPr>
        <w:pStyle w:val="BodyText"/>
      </w:pPr>
      <w:r>
        <w:rPr>
          <w:rFonts w:hint="eastAsia"/>
        </w:rPr>
        <w:t xml:space="preserve">液体储运装置位于厂区的西北角，北面为新建北线铁路走行线，南面为炼油成品油罐区，东面为化工罐区预留发展用地，西面为化工原料汽车卸车区停车场。下设三大区域，分别是存储区、装卸车区、火炬系统。分为3个平面区域进行布置。</w:t>
      </w:r>
    </w:p>
    <w:p>
      <w:pPr>
        <w:pStyle w:val="BodyText"/>
      </w:pPr>
      <w:r>
        <w:rPr>
          <w:rFonts w:hint="eastAsia"/>
        </w:rPr>
        <w:t xml:space="preserve">（1）</w:t>
      </w:r>
      <w:r>
        <w:rPr>
          <w:rFonts w:hint="eastAsia"/>
        </w:rPr>
        <w:t xml:space="preserve">“存储区”</w:t>
      </w:r>
      <w:r>
        <w:rPr>
          <w:rFonts w:hint="eastAsia"/>
        </w:rPr>
        <w:t xml:space="preserve">位于装置东半部，包括常压罐区、卸车常压储罐（位于卸车区）、球罐区，下设储罐、泵房、冷冻站、污水池、控制室、配电室、换热站、CEB350焚烧炉设施。</w:t>
      </w:r>
    </w:p>
    <w:p>
      <w:pPr>
        <w:pStyle w:val="BodyText"/>
      </w:pPr>
      <w:r>
        <w:rPr>
          <w:rFonts w:hint="eastAsia"/>
        </w:rPr>
        <w:t xml:space="preserve">（2）</w:t>
      </w:r>
      <w:r>
        <w:rPr>
          <w:rFonts w:hint="eastAsia"/>
        </w:rPr>
        <w:t xml:space="preserve">“装卸车区”</w:t>
      </w:r>
      <w:r>
        <w:rPr>
          <w:rFonts w:hint="eastAsia"/>
        </w:rPr>
        <w:t xml:space="preserve">位于装置西半部，包括汽车装卸车区、火车装卸车区及地衡站，轻烃尾气回收设施、泡沫站、外操室、泵房、配电室。</w:t>
      </w:r>
    </w:p>
    <w:p>
      <w:pPr>
        <w:pStyle w:val="BodyText"/>
      </w:pPr>
      <w:r>
        <w:rPr>
          <w:rFonts w:hint="eastAsia"/>
        </w:rPr>
        <w:t xml:space="preserve">（3）</w:t>
      </w:r>
      <w:r>
        <w:rPr>
          <w:rFonts w:hint="eastAsia"/>
        </w:rPr>
        <w:t xml:space="preserve">“火炬系统”</w:t>
      </w:r>
      <w:r>
        <w:rPr>
          <w:rFonts w:hint="eastAsia"/>
        </w:rPr>
        <w:t xml:space="preserve">火炬设施建于炼油火炬设施区内。火炬筒为可拆卸式，火炬头DN450，高4.5m，火炬筒体为DN450，高145.5m(与炼油火炬同高)。液体储运装置火炬头设计放空量为50t/h，消烟蒸汽设计量4t/h（max），操作处理负荷控制≯42t/h。</w:t>
      </w:r>
    </w:p>
    <w:p>
      <w:pPr>
        <w:pStyle w:val="BodyText"/>
      </w:pPr>
      <w:r>
        <w:rPr>
          <w:rFonts w:hint="eastAsia"/>
        </w:rPr>
        <w:t xml:space="preserve">火炬排放气可通过DN250跨线去炼油火炬气柜回收，炼油气柜无法回收可由炼油火炬水封罐后侧DV450跨线，直接进入炼油火炬筒体进行燃烧。</w:t>
      </w:r>
    </w:p>
    <w:p>
      <w:pPr>
        <w:pStyle w:val="BodyText"/>
      </w:pPr>
      <w:r>
        <w:rPr>
          <w:rFonts w:hint="eastAsia"/>
        </w:rPr>
        <w:t xml:space="preserve">新建轻烃球罐区、乙烷系统球罐区、汽化设施火炬排放直接并入炼油火炬主管网。</w:t>
      </w:r>
    </w:p>
    <w:p>
      <w:pPr>
        <w:pStyle w:val="BodyText"/>
      </w:pPr>
      <w:r>
        <w:rPr>
          <w:rFonts w:hint="eastAsia"/>
        </w:rPr>
        <w:t xml:space="preserve">本次评估的296-V-0001C、296-V-0001I、296-V-0001J三台球罐为轻烃球罐，2020年1月投用；95-V-9201B球罐为乙烷球罐，2020年5月投用，四台球罐分别于2021年8月和2022年8月完成首次定期检验。</w:t>
      </w:r>
    </w:p>
    <w:p>
      <w:pPr>
        <w:pStyle w:val="BodyText"/>
      </w:pPr>
      <w:r>
        <w:t xml:space="preserve">5.2 </w:t>
      </w:r>
      <w:r>
        <w:rPr>
          <w:rFonts w:hint="eastAsia"/>
        </w:rPr>
        <w:t xml:space="preserve">装置评估设备统计</w:t>
      </w:r>
    </w:p>
    <w:p>
      <w:pPr>
        <w:pStyle w:val="BodyText"/>
      </w:pPr>
      <w:r>
        <w:rPr>
          <w:rFonts w:hint="eastAsia"/>
        </w:rPr>
        <w:t xml:space="preserve">表5-1</w:t>
      </w:r>
      <w:r>
        <w:t xml:space="preserve"> </w:t>
      </w:r>
      <w:r>
        <w:rPr>
          <w:rFonts w:hint="eastAsia"/>
        </w:rPr>
        <w:t xml:space="preserve">评估数量统计</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装置名称</w:t>
            </w:r>
          </w:p>
        </w:tc>
        <w:tc>
          <w:tcPr/>
          <w:p>
            <w:pPr>
              <w:pStyle w:val="Compact"/>
            </w:pPr>
            <w:r>
              <w:rPr>
                <w:rFonts w:hint="eastAsia"/>
              </w:rPr>
              <w:t xml:space="preserve">换热器</w:t>
            </w:r>
          </w:p>
        </w:tc>
        <w:tc>
          <w:tcPr/>
          <w:p>
            <w:pPr>
              <w:pStyle w:val="Compact"/>
            </w:pPr>
            <w:r>
              <w:rPr>
                <w:rFonts w:hint="eastAsia"/>
              </w:rPr>
              <w:t xml:space="preserve">容器</w:t>
            </w:r>
          </w:p>
        </w:tc>
        <w:tc>
          <w:tcPr/>
          <w:p>
            <w:pPr>
              <w:pStyle w:val="Compact"/>
            </w:pPr>
            <w:r>
              <w:rPr>
                <w:rFonts w:hint="eastAsia"/>
              </w:rPr>
              <w:t xml:space="preserve">反应器</w:t>
            </w:r>
          </w:p>
        </w:tc>
        <w:tc>
          <w:tcPr/>
          <w:p>
            <w:pPr>
              <w:pStyle w:val="Compact"/>
            </w:pPr>
            <w:r>
              <w:rPr>
                <w:rFonts w:hint="eastAsia"/>
              </w:rPr>
              <w:t xml:space="preserve">设备小计</w:t>
            </w:r>
          </w:p>
        </w:tc>
      </w:tr>
      <w:tr>
        <w:tc>
          <w:tcPr/>
          <w:p>
            <w:pPr>
              <w:pStyle w:val="Compact"/>
            </w:pPr>
            <w:r>
              <w:rPr>
                <w:rFonts w:hint="eastAsia"/>
              </w:rPr>
              <w:t xml:space="preserve">液体储运装置</w:t>
            </w:r>
          </w:p>
        </w:tc>
        <w:tc>
          <w:tcPr/>
          <w:p>
            <w:pPr>
              <w:pStyle w:val="Compact"/>
            </w:pPr>
            <w:r>
              <w:t xml:space="preserve">0</w:t>
            </w:r>
          </w:p>
        </w:tc>
        <w:tc>
          <w:tcPr/>
          <w:p>
            <w:pPr>
              <w:pStyle w:val="Compact"/>
            </w:pPr>
            <w:r>
              <w:t xml:space="preserve">4</w:t>
            </w:r>
          </w:p>
        </w:tc>
        <w:tc>
          <w:tcPr/>
          <w:p>
            <w:pPr>
              <w:pStyle w:val="Compact"/>
            </w:pPr>
            <w:r>
              <w:t xml:space="preserve">0</w:t>
            </w:r>
          </w:p>
        </w:tc>
        <w:tc>
          <w:tcPr/>
          <w:p>
            <w:pPr>
              <w:pStyle w:val="Compact"/>
            </w:pPr>
            <w:r>
              <w:t xml:space="preserve">4</w:t>
            </w:r>
          </w:p>
        </w:tc>
      </w:tr>
      <w:tr>
        <w:tc>
          <w:tcPr/>
          <w:p>
            <w:pPr>
              <w:pStyle w:val="Compact"/>
            </w:pPr>
            <w:r>
              <w:rPr>
                <w:rFonts w:hint="eastAsia"/>
              </w:rPr>
              <w:t xml:space="preserve">合计</w:t>
            </w:r>
          </w:p>
        </w:tc>
        <w:tc>
          <w:tcPr/>
          <w:p>
            <w:pPr>
              <w:pStyle w:val="Compact"/>
            </w:pPr>
            <w:r>
              <w:t xml:space="preserve">0</w:t>
            </w:r>
          </w:p>
        </w:tc>
        <w:tc>
          <w:tcPr/>
          <w:p>
            <w:pPr>
              <w:pStyle w:val="Compact"/>
            </w:pPr>
            <w:r>
              <w:t xml:space="preserve">4</w:t>
            </w:r>
          </w:p>
        </w:tc>
        <w:tc>
          <w:tcPr/>
          <w:p>
            <w:pPr>
              <w:pStyle w:val="Compact"/>
            </w:pPr>
            <w:r>
              <w:t xml:space="preserve">0</w:t>
            </w:r>
          </w:p>
        </w:tc>
        <w:tc>
          <w:tcPr/>
          <w:p>
            <w:pPr>
              <w:pStyle w:val="Compact"/>
            </w:pPr>
            <w:r>
              <w:t xml:space="preserve">4</w:t>
            </w:r>
          </w:p>
        </w:tc>
      </w:tr>
    </w:tbl>
    <w:p>
      <w:pPr>
        <w:pStyle w:val="FirstParagraph"/>
      </w:pPr>
      <w:r>
        <w:t xml:space="preserve">5.3 </w:t>
      </w:r>
      <w:r>
        <w:rPr>
          <w:rFonts w:hint="eastAsia"/>
        </w:rPr>
        <w:t xml:space="preserve">装置腐蚀定性分析</w:t>
      </w:r>
    </w:p>
    <w:p>
      <w:pPr>
        <w:pStyle w:val="BodyText"/>
      </w:pPr>
      <w:r>
        <w:rPr>
          <w:rFonts w:hint="eastAsia"/>
        </w:rPr>
        <w:t xml:space="preserve">说明：</w:t>
      </w:r>
    </w:p>
    <w:p>
      <w:pPr>
        <w:pStyle w:val="BodyText"/>
      </w:pPr>
      <w:r>
        <w:rPr>
          <w:rFonts w:hint="eastAsia"/>
        </w:rPr>
        <w:t xml:space="preserve">腐蚀分析是RBI工作中的一个重要步骤，基于PHA(工艺过程危害分析)方法，识别物料中所含腐蚀性介质，并对其可能引发的设备材料腐蚀机理开展定性分析。腐蚀分析应尽可能找出有关的腐蚀机理，与定量分析软件结果的腐蚀机理进行对比。</w:t>
      </w:r>
    </w:p>
    <w:p>
      <w:pPr>
        <w:pStyle w:val="BodyText"/>
      </w:pPr>
      <w:r>
        <w:t xml:space="preserve">5.3.1 </w:t>
      </w:r>
      <w:r>
        <w:rPr>
          <w:rFonts w:hint="eastAsia"/>
        </w:rPr>
        <w:t xml:space="preserve">损伤机理</w:t>
      </w:r>
    </w:p>
    <w:p>
      <w:pPr>
        <w:pStyle w:val="BodyText"/>
      </w:pPr>
      <w:r>
        <w:rPr>
          <w:rFonts w:hint="eastAsia"/>
        </w:rPr>
        <w:t xml:space="preserve">液体储运装置本次评估范围内主要的潜在损伤模式有：内部腐蚀减薄（包括均匀腐蚀减薄和局部腐蚀减薄）、环境开裂、外部腐蚀。装置主要的损伤模式和损伤机理具体见表5-2。</w:t>
      </w:r>
    </w:p>
    <w:p>
      <w:pPr>
        <w:pStyle w:val="BodyText"/>
      </w:pPr>
      <w:r>
        <w:rPr>
          <w:rFonts w:hint="eastAsia"/>
        </w:rPr>
        <w:t xml:space="preserve">表5-2</w:t>
      </w:r>
      <w:r>
        <w:t xml:space="preserve"> </w:t>
      </w:r>
      <w:r>
        <w:rPr>
          <w:rFonts w:hint="eastAsia"/>
        </w:rPr>
        <w:t xml:space="preserve">装置主要潜在损伤机理表</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损伤模式</w:t>
            </w:r>
          </w:p>
        </w:tc>
        <w:tc>
          <w:tcPr/>
          <w:p>
            <w:pPr>
              <w:pStyle w:val="Compact"/>
            </w:pPr>
            <w:r>
              <w:rPr>
                <w:rFonts w:hint="eastAsia"/>
              </w:rPr>
              <w:t xml:space="preserve">损伤机理</w:t>
            </w:r>
          </w:p>
        </w:tc>
      </w:tr>
      <w:tr>
        <w:tc>
          <w:tcPr/>
          <w:p>
            <w:pPr>
              <w:pStyle w:val="Compact"/>
            </w:pPr>
            <w:r>
              <w:rPr>
                <w:rFonts w:hint="eastAsia"/>
              </w:rPr>
              <w:t xml:space="preserve">减薄</w:t>
            </w:r>
          </w:p>
        </w:tc>
        <w:tc>
          <w:tcPr/>
          <w:p>
            <w:pPr>
              <w:pStyle w:val="Compact"/>
            </w:pPr>
            <w:r>
              <w:rPr>
                <w:rFonts w:hint="eastAsia"/>
              </w:rPr>
              <w:t xml:space="preserve">酸性酸水腐蚀</w:t>
            </w:r>
          </w:p>
        </w:tc>
      </w:tr>
      <w:tr>
        <w:tc>
          <w:tcPr/>
          <w:p>
            <w:pPr>
              <w:pStyle w:val="Compact"/>
            </w:pPr>
            <w:r>
              <w:rPr>
                <w:rFonts w:hint="eastAsia"/>
              </w:rPr>
              <w:t xml:space="preserve">环境开裂</w:t>
            </w:r>
          </w:p>
        </w:tc>
        <w:tc>
          <w:tcPr/>
          <w:p>
            <w:pPr>
              <w:pStyle w:val="Compact"/>
            </w:pPr>
            <w:r>
              <w:rPr>
                <w:rFonts w:hint="eastAsia"/>
              </w:rPr>
              <w:t xml:space="preserve">湿硫化氢破坏</w:t>
            </w:r>
          </w:p>
        </w:tc>
      </w:tr>
      <w:tr>
        <w:tc>
          <w:tcPr/>
          <w:p>
            <w:pPr>
              <w:pStyle w:val="Compact"/>
            </w:pPr>
            <w:r>
              <w:rPr>
                <w:rFonts w:hint="eastAsia"/>
              </w:rPr>
              <w:t xml:space="preserve">外部腐蚀</w:t>
            </w:r>
          </w:p>
        </w:tc>
        <w:tc>
          <w:tcPr/>
          <w:p>
            <w:pPr>
              <w:pStyle w:val="Compact"/>
            </w:pPr>
            <w:r>
              <w:rPr>
                <w:rFonts w:hint="eastAsia"/>
              </w:rPr>
              <w:t xml:space="preserve">保温层下腐蚀</w:t>
            </w:r>
          </w:p>
        </w:tc>
      </w:tr>
    </w:tbl>
    <w:p>
      <w:pPr>
        <w:pStyle w:val="FirstParagraph"/>
      </w:pPr>
      <w:r>
        <w:rPr>
          <w:rFonts w:hint="eastAsia"/>
        </w:rPr>
        <w:t xml:space="preserve">酸性酸水腐蚀</w:t>
      </w:r>
    </w:p>
    <w:p>
      <w:pPr>
        <w:pStyle w:val="BodyText"/>
      </w:pPr>
      <w:r>
        <w:rPr>
          <w:rFonts w:hint="eastAsia"/>
        </w:rPr>
        <w:t xml:space="preserve">含有硫化氢且pH值介于4.5~7.0之间的酸性水引起的金属腐蚀，介质中也可能含有二氧化碳。一般为均匀腐蚀，有氧存在时易发生局部腐蚀或沉积垢下局部腐蚀，含有二氧化碳的环境还可能同时出现碳酸盐应力腐蚀。300系列不锈钢易发生点蚀，还可能出现缝隙腐蚀，以及氯化物应力腐蚀开裂。</w:t>
      </w:r>
    </w:p>
    <w:p>
      <w:pPr>
        <w:pStyle w:val="BodyText"/>
      </w:pPr>
      <w:r>
        <w:rPr>
          <w:rFonts w:hint="eastAsia"/>
        </w:rPr>
        <w:t xml:space="preserve">阳极反应：</w:t>
      </w:r>
    </w:p>
    <w:p>
      <w:pPr>
        <w:pStyle w:val="BodyText"/>
      </w:pPr>
      <w:r>
        <w:t xml:space="preserve">Fe → Fe²⁺ + 2e</w:t>
      </w:r>
    </w:p>
    <w:p>
      <w:pPr>
        <w:pStyle w:val="BodyText"/>
      </w:pPr>
      <w:r>
        <w:rPr>
          <w:rFonts w:hint="eastAsia"/>
        </w:rPr>
        <w:t xml:space="preserve">阴极反应：</w:t>
      </w:r>
    </w:p>
    <w:p>
      <w:pPr>
        <w:pStyle w:val="BodyText"/>
      </w:pPr>
      <w:r>
        <w:t xml:space="preserve">2H⁺ + 2e → H₂</w:t>
      </w:r>
    </w:p>
    <w:p>
      <w:pPr>
        <w:pStyle w:val="BodyText"/>
      </w:pPr>
      <w:r>
        <w:rPr>
          <w:rFonts w:hint="eastAsia"/>
        </w:rPr>
        <w:t xml:space="preserve">主要影响因素包括：a)硫化氢浓度：随酸性水中硫化氢浓度的升高，腐蚀速率增大。酸性水中硫化氢浓度取决于气相中硫化氢分压、温度和pH值，在一定的压力下，酸性水中的硫化氢浓度随温度升高而降低；b)pH值：硫化氢浓度增加会降低溶液的pH值，最低可达4.5，形成较强的酸性环境，腐蚀明显。pH值高于4.5时，可能会形成硫化亚铁保护膜，减小腐蚀速率；但有些时候则可能形成一层多孔的硫化物厚膜，不仅不能减小均匀腐蚀速率，甚至会促进垢下点蚀；c)杂质：氯化氢和二氧化碳会降低pH值，即酸性变强，氨会使pH值升高且可能形成碱式酸性水腐蚀。空气或氧化剂的存在可能会增加腐蚀作用，常形成点蚀或垢下腐蚀；d)流速：高流速冲刷易使硫化亚铁保护膜被破坏，腐蚀速率增大。</w:t>
      </w:r>
    </w:p>
    <w:p>
      <w:pPr>
        <w:pStyle w:val="BodyText"/>
      </w:pPr>
      <w:r>
        <w:rPr>
          <w:rFonts w:hint="eastAsia"/>
        </w:rPr>
        <w:t xml:space="preserve">湿硫化氢破坏</w:t>
      </w:r>
    </w:p>
    <w:p>
      <w:pPr>
        <w:pStyle w:val="BodyText"/>
      </w:pPr>
      <w:r>
        <w:rPr>
          <w:rFonts w:hint="eastAsia"/>
        </w:rPr>
        <w:t xml:space="preserve">湿硫化氢破坏是在含水和硫化氢环境中碳钢和低合金钢所发生的损伤，包括氢鼓泡(HB)、氢致开裂(HIC)、应力导向氢致开裂(SOHIC)和硫化物应力腐蚀开裂(SSC)4种形式。氢鼓泡是指金属表面硫化物腐蚀产生的氢原子扩散进入钢中，在钢中的不连续处（如有夹杂物、裂隙等）聚合形成氢分子，当氢分压超过临界值时会引发材料的局部变形，形成鼓泡；氢致开裂是氢鼓泡在材料内部不同深度形成时，鼓泡长大导致相邻的鼓泡不断连接，形成阶梯状裂纹；应力导向氢致开裂是在焊接残余应力或其他应力作用下，氢致开裂裂纹沿厚度方向不断相连并形成穿透至表面的开裂；硫化物应力腐蚀开裂是由于金属表面硫化物腐蚀过程中产生的原子氢吸附，在高应力区（焊缝和热影响区）聚集造成的一种开裂。</w:t>
      </w:r>
    </w:p>
    <w:p>
      <w:pPr>
        <w:pStyle w:val="BodyText"/>
      </w:pPr>
      <w:r>
        <w:rPr>
          <w:rFonts w:hint="eastAsia"/>
        </w:rPr>
        <w:t xml:space="preserve">主要影响因素包括：a)pH值：当溶液的pH值小于4.0或大于9.5并溶解有硫化氢时，湿硫化氢破坏易发生；b)硫化氢分压：溶液中溶解的硫化氢浓度&gt;50ppm，或潮湿气体中硫化氢气相分压&gt;0.0003MPa时，湿硫化氢破坏易发生，且分压越大，敏感性越高；c)温度：氢鼓泡、氢致开裂、应力导向氢致开裂损伤发生的温度范围为室温到150℃，有时可以更高，硫化物应力腐蚀开裂通常发生在82℃以下；d)硬度：硫化物应力腐蚀开裂跟硬度有关，炼油厂常用的低强度碳钢应控制焊接接头硬度在HB200（布氏硬度）以下，氢鼓泡、氢致开裂、应力导向氢致开裂与钢的硬度无关；e)钢纯净度：提高钢纯净度能提升钢材抗氢鼓泡、氢致开裂、应力导向氢致开裂能力；f)焊后热处理：焊后热处理可以有效地降低焊缝发生硫化物应力腐蚀开裂的可能性，对防止应力导向氢致开裂有一定的减缓作用，但对氢鼓泡、氢致开裂不起作用；</w:t>
      </w:r>
      <w:r>
        <w:t xml:space="preserve"> </w:t>
      </w:r>
      <w:r>
        <w:rPr>
          <w:rFonts w:hint="eastAsia"/>
        </w:rPr>
        <w:t xml:space="preserve">g)杂质：加氢装置的溶液中，如果硫氢化铵的浓度达到2%（质量分数），会增加氢鼓泡、氢致开裂、应力导向氢致开裂的敏感性。</w:t>
      </w:r>
    </w:p>
    <w:p>
      <w:pPr>
        <w:pStyle w:val="BodyText"/>
      </w:pPr>
      <w:r>
        <w:rPr>
          <w:rFonts w:hint="eastAsia"/>
        </w:rPr>
        <w:t xml:space="preserve">保温层下腐蚀</w:t>
      </w:r>
    </w:p>
    <w:p>
      <w:pPr>
        <w:pStyle w:val="BodyText"/>
      </w:pPr>
      <w:r>
        <w:rPr>
          <w:rFonts w:hint="eastAsia"/>
        </w:rPr>
        <w:t xml:space="preserve">保温层下腐蚀是敷设隔热层等覆盖层的金属在覆盖层下发生的腐蚀。碳钢和低合金钢发生腐蚀时主要表现为覆盖层下局部腐蚀。将碳钢和低合金钢的隔热材料拆除后，隔热层下腐蚀常形成覆盖在腐蚀部件表面的片状疏松锈皮。300系列不锈钢、400系列不锈钢及双相不锈钢会产生点蚀和局部腐蚀。对于300系列不锈钢，尤其是当隔热材料为老旧硅酸盐（含氯化物）时，还可能发生氯化物应力腐蚀开裂，在80℃~150℃范围内尤为明显，而双相不锈钢对此开裂敏感性较低。在一些局部腐蚀的情况中，腐蚀呈现为痈状点蚀（常见于油漆或涂层系统破损处）。隔热层和油漆或涂层明显发生破损的部位，经常伴有隔热层下腐蚀。</w:t>
      </w:r>
    </w:p>
    <w:p>
      <w:pPr>
        <w:pStyle w:val="BodyText"/>
      </w:pPr>
      <w:r>
        <w:rPr>
          <w:rFonts w:hint="eastAsia"/>
        </w:rPr>
        <w:t xml:space="preserve">主要影响因素包括：a)大气成分：在海洋环境或水汽充沛的地方，发生隔热层下腐蚀的温度上限还可能远远超过121℃；多雨、温暖和沿海地区的装置比干燥、寒冷和内陆地区的装置更容易发生隔热层下腐蚀；产生空气污染物，如氯化物（海洋环境、冷却塔飘落）或二氧化硫（烟囱排放物）的环境，可能加速腐蚀；b)结构和覆盖层质量：结构设计和/或安装不良，形成积水，将会加速隔热层下腐蚀；如果覆盖层的防护不严密，覆盖层的间隙处或破损处容易渗水，水的来源比较广泛，可能来自雨水、冷却水塔的喷淋、蒸汽伴热管泄漏冷凝等。吸湿（虹吸）的隔热材料可能会面临隔热层下腐蚀问题；从隔热层渗出的杂质，如氯化物、硅酸盐等，会加速损伤；c)温度：若隔热层内蓄积的水分在使用温度下很难蒸发，隔热层就会长时间处于潮湿状态，对承压设备金属造成腐蚀；在露点以下运行的设备容易在金属表面结露，形成潮湿环境，增加腐蚀可能性；当金属温度未超过水快速蒸发的温度点时，随温度升高，腐蚀速率增大；当钢材温度在100℃~121℃时，腐蚀可能非常严重；d)运行：冷热循环运行或间歇使用可能加速腐蚀。</w:t>
      </w:r>
    </w:p>
    <w:p>
      <w:pPr>
        <w:pStyle w:val="BodyText"/>
      </w:pPr>
      <w:r>
        <w:t xml:space="preserve">5.3.2 </w:t>
      </w:r>
      <w:r>
        <w:rPr>
          <w:rFonts w:hint="eastAsia"/>
        </w:rPr>
        <w:t xml:space="preserve">原料分析</w:t>
      </w:r>
    </w:p>
    <w:p>
      <w:pPr>
        <w:pStyle w:val="BodyText"/>
      </w:pPr>
      <w:r>
        <w:rPr>
          <w:rFonts w:hint="eastAsia"/>
        </w:rPr>
        <w:t xml:space="preserve">液体储运装置，轻烃总硫含量≤44.3ppm，乙烷总硫含量≤45.9ppm；原料中的腐蚀元素主要包括：硫化物，原料中可能含有微量硫化氢，运行中对设备主要出现湿硫化氢破坏。</w:t>
      </w:r>
    </w:p>
    <w:p>
      <w:pPr>
        <w:pStyle w:val="BodyText"/>
      </w:pPr>
      <w:r>
        <w:t xml:space="preserve">5.3.3 </w:t>
      </w:r>
      <w:r>
        <w:rPr>
          <w:rFonts w:hint="eastAsia"/>
        </w:rPr>
        <w:t xml:space="preserve">腐蚀分析</w:t>
      </w:r>
    </w:p>
    <w:p>
      <w:pPr>
        <w:pStyle w:val="BodyText"/>
      </w:pPr>
      <w:r>
        <w:rPr>
          <w:rFonts w:hint="eastAsia"/>
        </w:rPr>
        <w:t xml:space="preserve">通过现场数据采集、腐蚀定性分析以及与装置工作人员的交流，掌握液体储运装置的运行情况。经分析得到评估范围内的重点腐蚀区域为：</w:t>
      </w:r>
    </w:p>
    <w:p>
      <w:pPr>
        <w:pStyle w:val="BodyText"/>
      </w:pPr>
      <w:r>
        <w:rPr>
          <w:rFonts w:hint="eastAsia"/>
        </w:rPr>
        <w:t xml:space="preserve">4台压力容器的主要损伤机理为湿硫化氢破坏、保温层下腐蚀；此外，工卡具焊迹部位可能存在的原始制造缺陷也应作为重点检验关注部位。</w:t>
      </w:r>
    </w:p>
    <w:p>
      <w:pPr>
        <w:pStyle w:val="BodyText"/>
      </w:pPr>
      <w:r>
        <w:t xml:space="preserve">5.4 </w:t>
      </w:r>
      <w:r>
        <w:rPr>
          <w:rFonts w:hint="eastAsia"/>
        </w:rPr>
        <w:t xml:space="preserve">装置运行状况、检验历史</w:t>
      </w:r>
    </w:p>
    <w:p>
      <w:pPr>
        <w:pStyle w:val="BodyText"/>
      </w:pPr>
      <w:r>
        <w:rPr>
          <w:rFonts w:hint="eastAsia"/>
        </w:rPr>
        <w:t xml:space="preserve">液体储运装置3台轻烃罐于2020年1月投用，乙烷罐于2020年5月投用。最近一次检验时间为2021年8月和2022年8月，检验单位为中国石油独山子石化分公司压力容器检验所。</w:t>
      </w:r>
    </w:p>
    <w:p>
      <w:pPr>
        <w:pStyle w:val="BodyText"/>
      </w:pPr>
      <w:r>
        <w:rPr>
          <w:rFonts w:hint="eastAsia"/>
        </w:rPr>
        <w:t xml:space="preserve">表5-3</w:t>
      </w:r>
      <w:r>
        <w:t xml:space="preserve"> </w:t>
      </w:r>
      <w:r>
        <w:rPr>
          <w:rFonts w:hint="eastAsia"/>
        </w:rPr>
        <w:t xml:space="preserve">历史检验情况</w:t>
      </w:r>
    </w:p>
    <w:tbl>
      <w:tblPr>
        <w:tblStyle w:val="Table"/>
        <w:tblW w:type="pct" w:w="5000"/>
        <w:tblLayout w:type="fixed"/>
        <w:tblLook w:firstRow="1" w:lastRow="0" w:firstColumn="0" w:lastColumn="0" w:noHBand="0" w:noVBand="0" w:val="0020"/>
      </w:tblPr>
      <w:tblGrid>
        <w:gridCol w:w="719"/>
        <w:gridCol w:w="719"/>
        <w:gridCol w:w="719"/>
        <w:gridCol w:w="719"/>
        <w:gridCol w:w="719"/>
        <w:gridCol w:w="719"/>
        <w:gridCol w:w="719"/>
        <w:gridCol w:w="719"/>
        <w:gridCol w:w="719"/>
        <w:gridCol w:w="719"/>
        <w:gridCol w:w="719"/>
      </w:tblGrid>
      <w:tr>
        <w:trPr>
          <w:tblHeader w:val="on"/>
        </w:trPr>
        <w:tc>
          <w:tcPr/>
          <w:p>
            <w:pPr>
              <w:pStyle w:val="Compact"/>
            </w:pPr>
            <w:r>
              <w:rPr>
                <w:rFonts w:hint="eastAsia"/>
              </w:rPr>
              <w:t xml:space="preserve">序号</w:t>
            </w:r>
          </w:p>
        </w:tc>
        <w:tc>
          <w:tcPr/>
          <w:p>
            <w:pPr>
              <w:pStyle w:val="Compact"/>
            </w:pPr>
            <w:r>
              <w:rPr>
                <w:rFonts w:hint="eastAsia"/>
              </w:rPr>
              <w:t xml:space="preserve">设备位号</w:t>
            </w:r>
          </w:p>
        </w:tc>
        <w:tc>
          <w:tcPr/>
          <w:p>
            <w:pPr>
              <w:pStyle w:val="Compact"/>
            </w:pPr>
            <w:r>
              <w:rPr>
                <w:rFonts w:hint="eastAsia"/>
              </w:rPr>
              <w:t xml:space="preserve">设备名称</w:t>
            </w:r>
          </w:p>
        </w:tc>
        <w:tc>
          <w:tcPr/>
          <w:p>
            <w:pPr>
              <w:pStyle w:val="Compact"/>
            </w:pPr>
            <w:r>
              <w:rPr>
                <w:rFonts w:hint="eastAsia"/>
              </w:rPr>
              <w:t xml:space="preserve">安全状况等级</w:t>
            </w:r>
          </w:p>
        </w:tc>
        <w:tc>
          <w:tcPr/>
          <w:p>
            <w:pPr>
              <w:pStyle w:val="Compact"/>
            </w:pPr>
            <w:r>
              <w:rPr>
                <w:rFonts w:hint="eastAsia"/>
              </w:rPr>
              <w:t xml:space="preserve">投用时间</w:t>
            </w:r>
          </w:p>
        </w:tc>
        <w:tc>
          <w:tcPr/>
          <w:p>
            <w:pPr>
              <w:pStyle w:val="Compact"/>
            </w:pPr>
            <w:r>
              <w:rPr>
                <w:rFonts w:hint="eastAsia"/>
              </w:rPr>
              <w:t xml:space="preserve">定期检验时间</w:t>
            </w:r>
          </w:p>
        </w:tc>
        <w:tc>
          <w:tcPr/>
          <w:p>
            <w:pPr>
              <w:pStyle w:val="Compact"/>
            </w:pPr>
            <w:r>
              <w:rPr>
                <w:rFonts w:hint="eastAsia"/>
              </w:rPr>
              <w:t xml:space="preserve">下次检验时间</w:t>
            </w:r>
          </w:p>
        </w:tc>
        <w:tc>
          <w:tcPr/>
          <w:p>
            <w:pPr>
              <w:pStyle w:val="Compact"/>
            </w:pPr>
            <w:r>
              <w:rPr>
                <w:rFonts w:hint="eastAsia"/>
              </w:rPr>
              <w:t xml:space="preserve">检验机构</w:t>
            </w:r>
          </w:p>
        </w:tc>
        <w:tc>
          <w:tcPr/>
          <w:p>
            <w:pPr>
              <w:pStyle w:val="Compact"/>
            </w:pPr>
            <w:r>
              <w:rPr>
                <w:rFonts w:hint="eastAsia"/>
              </w:rPr>
              <w:t xml:space="preserve">建造壁厚(mm)</w:t>
            </w:r>
          </w:p>
        </w:tc>
        <w:tc>
          <w:tcPr/>
          <w:p>
            <w:pPr>
              <w:pStyle w:val="Compact"/>
            </w:pPr>
            <w:r>
              <w:rPr>
                <w:rFonts w:hint="eastAsia"/>
              </w:rPr>
              <w:t xml:space="preserve">实测最小壁厚(mm)</w:t>
            </w:r>
          </w:p>
        </w:tc>
        <w:tc>
          <w:tcPr/>
          <w:p>
            <w:pPr>
              <w:pStyle w:val="Compact"/>
            </w:pPr>
            <w:r>
              <w:rPr>
                <w:rFonts w:hint="eastAsia"/>
              </w:rPr>
              <w:t xml:space="preserve">检验发现的问题</w:t>
            </w:r>
          </w:p>
        </w:tc>
      </w:tr>
      <w:tr>
        <w:tc>
          <w:tcPr/>
          <w:p>
            <w:pPr>
              <w:pStyle w:val="Compact"/>
            </w:pPr>
            <w:r>
              <w:t xml:space="preserve">1</w:t>
            </w:r>
          </w:p>
        </w:tc>
        <w:tc>
          <w:tcPr/>
          <w:p>
            <w:pPr>
              <w:pStyle w:val="Compact"/>
            </w:pPr>
            <w:r>
              <w:t xml:space="preserve">296-V-0001C</w:t>
            </w:r>
          </w:p>
        </w:tc>
        <w:tc>
          <w:tcPr/>
          <w:p>
            <w:pPr>
              <w:pStyle w:val="Compact"/>
            </w:pPr>
            <w:r>
              <w:rPr>
                <w:rFonts w:hint="eastAsia"/>
              </w:rPr>
              <w:t xml:space="preserve">轻烃优化3500m³轻烃球罐</w:t>
            </w:r>
          </w:p>
        </w:tc>
        <w:tc>
          <w:tcPr/>
          <w:p>
            <w:pPr>
              <w:pStyle w:val="Compact"/>
            </w:pPr>
            <w:r>
              <w:t xml:space="preserve">2</w:t>
            </w:r>
          </w:p>
        </w:tc>
        <w:tc>
          <w:tcPr/>
          <w:p>
            <w:pPr>
              <w:pStyle w:val="Compact"/>
            </w:pPr>
            <w:r>
              <w:rPr>
                <w:rFonts w:hint="eastAsia"/>
              </w:rPr>
              <w:t xml:space="preserve">2020年01月</w:t>
            </w:r>
          </w:p>
        </w:tc>
        <w:tc>
          <w:tcPr/>
          <w:p>
            <w:pPr>
              <w:pStyle w:val="Compact"/>
            </w:pPr>
            <w:r>
              <w:rPr>
                <w:rFonts w:hint="eastAsia"/>
              </w:rPr>
              <w:t xml:space="preserve">2022年08月</w:t>
            </w:r>
          </w:p>
        </w:tc>
        <w:tc>
          <w:tcPr/>
          <w:p>
            <w:pPr>
              <w:pStyle w:val="Compact"/>
            </w:pPr>
            <w:r>
              <w:rPr>
                <w:rFonts w:hint="eastAsia"/>
              </w:rPr>
              <w:t xml:space="preserve">2026年8月</w:t>
            </w:r>
          </w:p>
        </w:tc>
        <w:tc>
          <w:tcPr/>
          <w:p>
            <w:pPr>
              <w:pStyle w:val="Compact"/>
            </w:pPr>
            <w:r>
              <w:rPr>
                <w:rFonts w:hint="eastAsia"/>
              </w:rPr>
              <w:t xml:space="preserve">中国石油独山子石化分公司压力容器检验所</w:t>
            </w:r>
          </w:p>
        </w:tc>
        <w:tc>
          <w:tcPr/>
          <w:p>
            <w:pPr>
              <w:pStyle w:val="Compact"/>
            </w:pPr>
            <w:r>
              <w:t xml:space="preserve">50</w:t>
            </w:r>
          </w:p>
        </w:tc>
        <w:tc>
          <w:tcPr/>
          <w:p>
            <w:pPr>
              <w:pStyle w:val="Compact"/>
            </w:pPr>
            <w:r>
              <w:t xml:space="preserve">48.99</w:t>
            </w:r>
          </w:p>
        </w:tc>
        <w:tc>
          <w:tcPr/>
          <w:p>
            <w:pPr>
              <w:pStyle w:val="Compact"/>
            </w:pPr>
            <w:r>
              <w:rPr>
                <w:rFonts w:hint="eastAsia"/>
              </w:rPr>
              <w:t xml:space="preserve">检验未发现异常。</w:t>
            </w:r>
          </w:p>
        </w:tc>
      </w:tr>
      <w:tr>
        <w:tc>
          <w:tcPr/>
          <w:p>
            <w:pPr>
              <w:pStyle w:val="Compact"/>
            </w:pPr>
            <w:r>
              <w:t xml:space="preserve">2</w:t>
            </w:r>
          </w:p>
        </w:tc>
        <w:tc>
          <w:tcPr/>
          <w:p>
            <w:pPr>
              <w:pStyle w:val="Compact"/>
            </w:pPr>
            <w:r>
              <w:t xml:space="preserve">296-V-0001I</w:t>
            </w:r>
          </w:p>
        </w:tc>
        <w:tc>
          <w:tcPr/>
          <w:p>
            <w:pPr>
              <w:pStyle w:val="Compact"/>
            </w:pPr>
            <w:r>
              <w:rPr>
                <w:rFonts w:hint="eastAsia"/>
              </w:rPr>
              <w:t xml:space="preserve">轻烃优化3500m³轻烃球罐</w:t>
            </w:r>
          </w:p>
        </w:tc>
        <w:tc>
          <w:tcPr/>
          <w:p>
            <w:pPr>
              <w:pStyle w:val="Compact"/>
            </w:pPr>
            <w:r>
              <w:t xml:space="preserve">3</w:t>
            </w:r>
          </w:p>
        </w:tc>
        <w:tc>
          <w:tcPr/>
          <w:p>
            <w:pPr>
              <w:pStyle w:val="Compact"/>
            </w:pPr>
            <w:r>
              <w:rPr>
                <w:rFonts w:hint="eastAsia"/>
              </w:rPr>
              <w:t xml:space="preserve">2020年01月</w:t>
            </w:r>
          </w:p>
        </w:tc>
        <w:tc>
          <w:tcPr/>
          <w:p>
            <w:pPr>
              <w:pStyle w:val="Compact"/>
            </w:pPr>
            <w:r>
              <w:rPr>
                <w:rFonts w:hint="eastAsia"/>
              </w:rPr>
              <w:t xml:space="preserve">2021年08月</w:t>
            </w:r>
          </w:p>
        </w:tc>
        <w:tc>
          <w:tcPr/>
          <w:p>
            <w:pPr>
              <w:pStyle w:val="Compact"/>
            </w:pPr>
            <w:r>
              <w:rPr>
                <w:rFonts w:hint="eastAsia"/>
              </w:rPr>
              <w:t xml:space="preserve">2026年8月</w:t>
            </w:r>
          </w:p>
        </w:tc>
        <w:tc>
          <w:tcPr/>
          <w:p>
            <w:pPr>
              <w:pStyle w:val="Compact"/>
            </w:pPr>
            <w:r>
              <w:rPr>
                <w:rFonts w:hint="eastAsia"/>
              </w:rPr>
              <w:t xml:space="preserve">中国石油独山子石化分公司压力容器检验所</w:t>
            </w:r>
          </w:p>
        </w:tc>
        <w:tc>
          <w:tcPr/>
          <w:p>
            <w:pPr>
              <w:pStyle w:val="Compact"/>
            </w:pPr>
            <w:r>
              <w:t xml:space="preserve">50</w:t>
            </w:r>
          </w:p>
        </w:tc>
        <w:tc>
          <w:tcPr/>
          <w:p>
            <w:pPr>
              <w:pStyle w:val="Compact"/>
            </w:pPr>
            <w:r>
              <w:t xml:space="preserve">49.9</w:t>
            </w:r>
          </w:p>
        </w:tc>
        <w:tc>
          <w:tcPr/>
          <w:p>
            <w:pPr>
              <w:pStyle w:val="Compact"/>
            </w:pPr>
            <w:r>
              <w:rPr>
                <w:rFonts w:hint="eastAsia"/>
              </w:rPr>
              <w:t xml:space="preserve">内表面宏观检查发现多处十字焊缝(十字焊缝产生原因：为修复丁字焊缝处的缺陷在纵、环焊缝挖补补焊后产生），经检验未查出新生缺陷。</w:t>
            </w:r>
          </w:p>
        </w:tc>
      </w:tr>
      <w:tr>
        <w:tc>
          <w:tcPr/>
          <w:p>
            <w:pPr>
              <w:pStyle w:val="Compact"/>
            </w:pPr>
            <w:r>
              <w:t xml:space="preserve">3</w:t>
            </w:r>
          </w:p>
        </w:tc>
        <w:tc>
          <w:tcPr/>
          <w:p>
            <w:pPr>
              <w:pStyle w:val="Compact"/>
            </w:pPr>
            <w:r>
              <w:t xml:space="preserve">296-V-0001J</w:t>
            </w:r>
          </w:p>
        </w:tc>
        <w:tc>
          <w:tcPr/>
          <w:p>
            <w:pPr>
              <w:pStyle w:val="Compact"/>
            </w:pPr>
            <w:r>
              <w:rPr>
                <w:rFonts w:hint="eastAsia"/>
              </w:rPr>
              <w:t xml:space="preserve">轻烃优化3500m³轻烃球罐</w:t>
            </w:r>
          </w:p>
        </w:tc>
        <w:tc>
          <w:tcPr/>
          <w:p>
            <w:pPr>
              <w:pStyle w:val="Compact"/>
            </w:pPr>
            <w:r>
              <w:t xml:space="preserve">3</w:t>
            </w:r>
          </w:p>
        </w:tc>
        <w:tc>
          <w:tcPr/>
          <w:p>
            <w:pPr>
              <w:pStyle w:val="Compact"/>
            </w:pPr>
            <w:r>
              <w:rPr>
                <w:rFonts w:hint="eastAsia"/>
              </w:rPr>
              <w:t xml:space="preserve">2020年01月</w:t>
            </w:r>
          </w:p>
        </w:tc>
        <w:tc>
          <w:tcPr/>
          <w:p>
            <w:pPr>
              <w:pStyle w:val="Compact"/>
            </w:pPr>
            <w:r>
              <w:rPr>
                <w:rFonts w:hint="eastAsia"/>
              </w:rPr>
              <w:t xml:space="preserve">2021年08月</w:t>
            </w:r>
          </w:p>
        </w:tc>
        <w:tc>
          <w:tcPr/>
          <w:p>
            <w:pPr>
              <w:pStyle w:val="Compact"/>
            </w:pPr>
            <w:r>
              <w:rPr>
                <w:rFonts w:hint="eastAsia"/>
              </w:rPr>
              <w:t xml:space="preserve">2026年8月</w:t>
            </w:r>
          </w:p>
        </w:tc>
        <w:tc>
          <w:tcPr/>
          <w:p>
            <w:pPr>
              <w:pStyle w:val="Compact"/>
            </w:pPr>
            <w:r>
              <w:rPr>
                <w:rFonts w:hint="eastAsia"/>
              </w:rPr>
              <w:t xml:space="preserve">中国石油独山子石化分公司压力容器检验所</w:t>
            </w:r>
          </w:p>
        </w:tc>
        <w:tc>
          <w:tcPr/>
          <w:p>
            <w:pPr>
              <w:pStyle w:val="Compact"/>
            </w:pPr>
            <w:r>
              <w:t xml:space="preserve">50</w:t>
            </w:r>
          </w:p>
        </w:tc>
        <w:tc>
          <w:tcPr/>
          <w:p>
            <w:pPr>
              <w:pStyle w:val="Compact"/>
            </w:pPr>
            <w:r>
              <w:t xml:space="preserve">49.96</w:t>
            </w:r>
          </w:p>
        </w:tc>
        <w:tc>
          <w:tcPr/>
          <w:p>
            <w:pPr>
              <w:pStyle w:val="Compact"/>
            </w:pPr>
            <w:r>
              <w:rPr>
                <w:rFonts w:hint="eastAsia"/>
              </w:rPr>
              <w:t xml:space="preserve">内表面宏观检查发现多处十字焊缝(产生原因：为修复丁字焊缝处的缺陷对纵、环焊缝挖补补焊后产生），经检验未查出新生缺陷；超声检测发现3处Ⅲ级超声缺陷，采用TOFD超声检测复检3处缺陷，发现2处Ⅱ级缺陷，1处Ⅲ级条形缺陷，L=54.1mm，H=4.6mm，用户委托中国特种设备检测研究院对该缺陷进行了合于使用评价，评价结论为该缺陷在当前操作参数下可以通过基于GB/T19624-2019的安全性评价，可以继续运行至下一检验周期(2027年6月），具体内容见合于使用评价报告19R0044-QQ01。</w:t>
            </w:r>
          </w:p>
        </w:tc>
      </w:tr>
      <w:tr>
        <w:tc>
          <w:tcPr/>
          <w:p>
            <w:pPr>
              <w:pStyle w:val="Compact"/>
            </w:pPr>
            <w:r>
              <w:t xml:space="preserve">4</w:t>
            </w:r>
          </w:p>
        </w:tc>
        <w:tc>
          <w:tcPr/>
          <w:p>
            <w:pPr>
              <w:pStyle w:val="Compact"/>
            </w:pPr>
            <w:r>
              <w:t xml:space="preserve">95-V-9201B</w:t>
            </w:r>
          </w:p>
        </w:tc>
        <w:tc>
          <w:tcPr/>
          <w:p>
            <w:pPr>
              <w:pStyle w:val="Compact"/>
            </w:pPr>
            <w:r>
              <w:rPr>
                <w:rFonts w:hint="eastAsia"/>
              </w:rPr>
              <w:t xml:space="preserve">乙烷2000m³球罐</w:t>
            </w:r>
          </w:p>
        </w:tc>
        <w:tc>
          <w:tcPr/>
          <w:p>
            <w:pPr>
              <w:pStyle w:val="Compact"/>
            </w:pPr>
            <w:r>
              <w:t xml:space="preserve">2</w:t>
            </w:r>
          </w:p>
        </w:tc>
        <w:tc>
          <w:tcPr/>
          <w:p>
            <w:pPr>
              <w:pStyle w:val="Compact"/>
            </w:pPr>
            <w:r>
              <w:rPr>
                <w:rFonts w:hint="eastAsia"/>
              </w:rPr>
              <w:t xml:space="preserve">2020年05月</w:t>
            </w:r>
          </w:p>
        </w:tc>
        <w:tc>
          <w:tcPr/>
          <w:p>
            <w:pPr>
              <w:pStyle w:val="Compact"/>
            </w:pPr>
            <w:r>
              <w:rPr>
                <w:rFonts w:hint="eastAsia"/>
              </w:rPr>
              <w:t xml:space="preserve">2022年09月</w:t>
            </w:r>
          </w:p>
        </w:tc>
        <w:tc>
          <w:tcPr/>
          <w:p>
            <w:pPr>
              <w:pStyle w:val="Compact"/>
            </w:pPr>
            <w:r>
              <w:rPr>
                <w:rFonts w:hint="eastAsia"/>
              </w:rPr>
              <w:t xml:space="preserve">2026年9月</w:t>
            </w:r>
          </w:p>
        </w:tc>
        <w:tc>
          <w:tcPr/>
          <w:p>
            <w:pPr>
              <w:pStyle w:val="Compact"/>
            </w:pPr>
            <w:r>
              <w:rPr>
                <w:rFonts w:hint="eastAsia"/>
              </w:rPr>
              <w:t xml:space="preserve">中国石油独山子石化分公司压力容器检验所</w:t>
            </w:r>
          </w:p>
        </w:tc>
        <w:tc>
          <w:tcPr/>
          <w:p>
            <w:pPr>
              <w:pStyle w:val="Compact"/>
            </w:pPr>
            <w:r>
              <w:t xml:space="preserve">40</w:t>
            </w:r>
          </w:p>
        </w:tc>
        <w:tc>
          <w:tcPr/>
          <w:p>
            <w:pPr>
              <w:pStyle w:val="Compact"/>
            </w:pPr>
            <w:r>
              <w:t xml:space="preserve">39.06</w:t>
            </w:r>
          </w:p>
        </w:tc>
        <w:tc>
          <w:tcPr/>
          <w:p>
            <w:pPr>
              <w:pStyle w:val="Compact"/>
            </w:pPr>
            <w:r>
              <w:rPr>
                <w:rFonts w:hint="eastAsia"/>
              </w:rPr>
              <w:t xml:space="preserve">检验未发现异常。</w:t>
            </w:r>
          </w:p>
        </w:tc>
      </w:tr>
    </w:tbl>
    <w:p>
      <w:pPr>
        <w:pStyle w:val="Compact"/>
        <w:numPr>
          <w:ilvl w:val="0"/>
          <w:numId w:val="1014"/>
        </w:numPr>
      </w:pPr>
      <w:r>
        <w:rPr>
          <w:rFonts w:hint="eastAsia"/>
        </w:rPr>
        <w:t xml:space="preserve">物流划分</w:t>
      </w:r>
    </w:p>
    <w:p>
      <w:pPr>
        <w:pStyle w:val="FirstParagraph"/>
      </w:pPr>
      <w:r>
        <w:rPr>
          <w:rFonts w:hint="eastAsia"/>
        </w:rPr>
        <w:t xml:space="preserve">按照装置的工艺流程划分物流，物流组分的来源及确定主要依据装置初始工艺设计资料、馏程以及采样等。微量的工艺杂质可能会导致设备产生腐蚀，如RSH、水等，这些数据通过装置工艺人员采样得到，对于无法采样的，则一般通过工艺人员与RBI现场数据采集人员的讨论，确定是否含少量腐蚀性有害杂质，并根据工艺情况，估计其含量。评估范围内装置的物流组分详见表6-1</w:t>
      </w:r>
      <w:r>
        <w:t xml:space="preserve"> (wt%)。</w:t>
      </w:r>
    </w:p>
    <w:p>
      <w:pPr>
        <w:pStyle w:val="BodyText"/>
      </w:pPr>
      <w:r>
        <w:rPr>
          <w:rFonts w:hint="eastAsia"/>
        </w:rPr>
        <w:t xml:space="preserve">表6-1</w:t>
      </w:r>
      <w:r>
        <w:t xml:space="preserve"> </w:t>
      </w:r>
      <w:r>
        <w:rPr>
          <w:rFonts w:hint="eastAsia"/>
        </w:rPr>
        <w:t xml:space="preserve">物流表</w:t>
      </w:r>
    </w:p>
    <w:tbl>
      <w:tblPr>
        <w:tblStyle w:val="Table"/>
        <w:tblW w:type="pct" w:w="5000"/>
        <w:tblLayout w:type="fixed"/>
        <w:tblLook w:firstRow="1" w:lastRow="0" w:firstColumn="0" w:lastColumn="0" w:noHBand="0" w:noVBand="0" w:val="0020"/>
      </w:tblPr>
      <w:tblGrid>
        <w:gridCol w:w="879"/>
        <w:gridCol w:w="879"/>
        <w:gridCol w:w="879"/>
        <w:gridCol w:w="879"/>
        <w:gridCol w:w="879"/>
        <w:gridCol w:w="879"/>
        <w:gridCol w:w="879"/>
        <w:gridCol w:w="879"/>
        <w:gridCol w:w="879"/>
      </w:tblGrid>
      <w:tr>
        <w:trPr>
          <w:tblHeader w:val="on"/>
        </w:trPr>
        <w:tc>
          <w:tcPr/>
          <w:p>
            <w:pPr>
              <w:pStyle w:val="Compact"/>
            </w:pPr>
            <w:r>
              <w:rPr>
                <w:rFonts w:hint="eastAsia"/>
              </w:rPr>
              <w:t xml:space="preserve">物流名称</w:t>
            </w:r>
          </w:p>
        </w:tc>
        <w:tc>
          <w:tcPr/>
          <w:p>
            <w:pPr>
              <w:pStyle w:val="Compact"/>
            </w:pPr>
            <w:r>
              <w:rPr>
                <w:rFonts w:hint="eastAsia"/>
              </w:rPr>
              <w:t xml:space="preserve">物流编号</w:t>
            </w:r>
          </w:p>
        </w:tc>
        <w:tc>
          <w:tcPr/>
          <w:p>
            <w:pPr>
              <w:pStyle w:val="Compact"/>
            </w:pPr>
            <w:r>
              <w:rPr>
                <w:rFonts w:hint="eastAsia"/>
              </w:rPr>
              <w:t xml:space="preserve">典型物流</w:t>
            </w:r>
          </w:p>
        </w:tc>
        <w:tc>
          <w:tcPr/>
          <w:p>
            <w:pPr>
              <w:pStyle w:val="Compact"/>
            </w:pPr>
            <w:r>
              <w:t xml:space="preserve">pH</w:t>
            </w:r>
          </w:p>
        </w:tc>
        <w:tc>
          <w:tcPr/>
          <w:p>
            <w:pPr>
              <w:pStyle w:val="Compact"/>
            </w:pPr>
            <w:r>
              <w:t xml:space="preserve">C1-C2</w:t>
            </w:r>
          </w:p>
        </w:tc>
        <w:tc>
          <w:tcPr/>
          <w:p>
            <w:pPr>
              <w:pStyle w:val="Compact"/>
            </w:pPr>
            <w:r>
              <w:t xml:space="preserve">C3-C4</w:t>
            </w:r>
          </w:p>
        </w:tc>
        <w:tc>
          <w:tcPr/>
          <w:p>
            <w:pPr>
              <w:pStyle w:val="Compact"/>
            </w:pPr>
            <w:r>
              <w:t xml:space="preserve">H₂S</w:t>
            </w:r>
          </w:p>
        </w:tc>
        <w:tc>
          <w:tcPr/>
          <w:p>
            <w:pPr>
              <w:pStyle w:val="Compact"/>
            </w:pPr>
            <w:r>
              <w:t xml:space="preserve">H₂O</w:t>
            </w:r>
          </w:p>
        </w:tc>
        <w:tc>
          <w:tcPr/>
          <w:p>
            <w:pPr>
              <w:pStyle w:val="Compact"/>
            </w:pPr>
            <w:r>
              <w:rPr>
                <w:rFonts w:hint="eastAsia"/>
              </w:rPr>
              <w:t xml:space="preserve">硫化物</w:t>
            </w:r>
          </w:p>
        </w:tc>
      </w:tr>
      <w:tr>
        <w:tc>
          <w:tcPr/>
          <w:p>
            <w:pPr>
              <w:pStyle w:val="Compact"/>
            </w:pPr>
            <w:r>
              <w:rPr>
                <w:rFonts w:hint="eastAsia"/>
              </w:rPr>
              <w:t xml:space="preserve">轻烃</w:t>
            </w:r>
          </w:p>
        </w:tc>
        <w:tc>
          <w:tcPr/>
          <w:p>
            <w:pPr>
              <w:pStyle w:val="Compact"/>
            </w:pPr>
            <w:r>
              <w:rPr>
                <w:rFonts w:hint="eastAsia"/>
              </w:rPr>
              <w:t xml:space="preserve">CY二-01</w:t>
            </w:r>
          </w:p>
        </w:tc>
        <w:tc>
          <w:tcPr/>
          <w:p>
            <w:pPr>
              <w:pStyle w:val="Compact"/>
            </w:pPr>
            <w:r>
              <w:t xml:space="preserve">C3-C4</w:t>
            </w:r>
          </w:p>
        </w:tc>
        <w:tc>
          <w:tcPr/>
          <w:p>
            <w:pPr>
              <w:pStyle w:val="Compact"/>
            </w:pPr>
            <w:r>
              <w:t xml:space="preserve">6.5</w:t>
            </w:r>
          </w:p>
        </w:tc>
        <w:tc>
          <w:tcPr/>
          <w:p>
            <w:pPr>
              <w:pStyle w:val="Compact"/>
            </w:pPr>
          </w:p>
        </w:tc>
        <w:tc>
          <w:tcPr/>
          <w:p>
            <w:pPr>
              <w:pStyle w:val="Compact"/>
            </w:pPr>
            <w:r>
              <w:t xml:space="preserve">100%</w:t>
            </w:r>
          </w:p>
        </w:tc>
        <w:tc>
          <w:tcPr/>
          <w:p>
            <w:pPr>
              <w:pStyle w:val="Compact"/>
            </w:pPr>
            <w:r>
              <w:t xml:space="preserve">1ppm</w:t>
            </w:r>
          </w:p>
        </w:tc>
        <w:tc>
          <w:tcPr/>
          <w:p>
            <w:pPr>
              <w:pStyle w:val="Compact"/>
            </w:pPr>
            <w:r>
              <w:t xml:space="preserve">10ppm</w:t>
            </w:r>
          </w:p>
        </w:tc>
        <w:tc>
          <w:tcPr/>
          <w:p>
            <w:pPr>
              <w:pStyle w:val="Compact"/>
            </w:pPr>
            <w:r>
              <w:t xml:space="preserve">43.1ppm</w:t>
            </w:r>
          </w:p>
        </w:tc>
      </w:tr>
      <w:tr>
        <w:tc>
          <w:tcPr/>
          <w:p>
            <w:pPr>
              <w:pStyle w:val="Compact"/>
            </w:pPr>
            <w:r>
              <w:rPr>
                <w:rFonts w:hint="eastAsia"/>
              </w:rPr>
              <w:t xml:space="preserve">轻烃</w:t>
            </w:r>
          </w:p>
        </w:tc>
        <w:tc>
          <w:tcPr/>
          <w:p>
            <w:pPr>
              <w:pStyle w:val="Compact"/>
            </w:pPr>
            <w:r>
              <w:rPr>
                <w:rFonts w:hint="eastAsia"/>
              </w:rPr>
              <w:t xml:space="preserve">CY二-02</w:t>
            </w:r>
          </w:p>
        </w:tc>
        <w:tc>
          <w:tcPr/>
          <w:p>
            <w:pPr>
              <w:pStyle w:val="Compact"/>
            </w:pPr>
            <w:r>
              <w:t xml:space="preserve">C3-C4</w:t>
            </w:r>
          </w:p>
        </w:tc>
        <w:tc>
          <w:tcPr/>
          <w:p>
            <w:pPr>
              <w:pStyle w:val="Compact"/>
            </w:pPr>
            <w:r>
              <w:t xml:space="preserve">6.5</w:t>
            </w:r>
          </w:p>
        </w:tc>
        <w:tc>
          <w:tcPr/>
          <w:p>
            <w:pPr>
              <w:pStyle w:val="Compact"/>
            </w:pPr>
          </w:p>
        </w:tc>
        <w:tc>
          <w:tcPr/>
          <w:p>
            <w:pPr>
              <w:pStyle w:val="Compact"/>
            </w:pPr>
            <w:r>
              <w:t xml:space="preserve">100%</w:t>
            </w:r>
          </w:p>
        </w:tc>
        <w:tc>
          <w:tcPr/>
          <w:p>
            <w:pPr>
              <w:pStyle w:val="Compact"/>
            </w:pPr>
            <w:r>
              <w:t xml:space="preserve">1ppm</w:t>
            </w:r>
          </w:p>
        </w:tc>
        <w:tc>
          <w:tcPr/>
          <w:p>
            <w:pPr>
              <w:pStyle w:val="Compact"/>
            </w:pPr>
            <w:r>
              <w:t xml:space="preserve">10ppm</w:t>
            </w:r>
          </w:p>
        </w:tc>
        <w:tc>
          <w:tcPr/>
          <w:p>
            <w:pPr>
              <w:pStyle w:val="Compact"/>
            </w:pPr>
            <w:r>
              <w:t xml:space="preserve">44.3ppm</w:t>
            </w:r>
          </w:p>
        </w:tc>
      </w:tr>
      <w:tr>
        <w:tc>
          <w:tcPr/>
          <w:p>
            <w:pPr>
              <w:pStyle w:val="Compact"/>
            </w:pPr>
            <w:r>
              <w:rPr>
                <w:rFonts w:hint="eastAsia"/>
              </w:rPr>
              <w:t xml:space="preserve">轻烃</w:t>
            </w:r>
          </w:p>
        </w:tc>
        <w:tc>
          <w:tcPr/>
          <w:p>
            <w:pPr>
              <w:pStyle w:val="Compact"/>
            </w:pPr>
            <w:r>
              <w:rPr>
                <w:rFonts w:hint="eastAsia"/>
              </w:rPr>
              <w:t xml:space="preserve">CY二-03</w:t>
            </w:r>
          </w:p>
        </w:tc>
        <w:tc>
          <w:tcPr/>
          <w:p>
            <w:pPr>
              <w:pStyle w:val="Compact"/>
            </w:pPr>
            <w:r>
              <w:t xml:space="preserve">C3-C4</w:t>
            </w:r>
          </w:p>
        </w:tc>
        <w:tc>
          <w:tcPr/>
          <w:p>
            <w:pPr>
              <w:pStyle w:val="Compact"/>
            </w:pPr>
            <w:r>
              <w:t xml:space="preserve">6.5</w:t>
            </w:r>
          </w:p>
        </w:tc>
        <w:tc>
          <w:tcPr/>
          <w:p>
            <w:pPr>
              <w:pStyle w:val="Compact"/>
            </w:pPr>
          </w:p>
        </w:tc>
        <w:tc>
          <w:tcPr/>
          <w:p>
            <w:pPr>
              <w:pStyle w:val="Compact"/>
            </w:pPr>
            <w:r>
              <w:t xml:space="preserve">100%</w:t>
            </w:r>
          </w:p>
        </w:tc>
        <w:tc>
          <w:tcPr/>
          <w:p>
            <w:pPr>
              <w:pStyle w:val="Compact"/>
            </w:pPr>
            <w:r>
              <w:t xml:space="preserve">1ppm</w:t>
            </w:r>
          </w:p>
        </w:tc>
        <w:tc>
          <w:tcPr/>
          <w:p>
            <w:pPr>
              <w:pStyle w:val="Compact"/>
            </w:pPr>
            <w:r>
              <w:t xml:space="preserve">10ppm</w:t>
            </w:r>
          </w:p>
        </w:tc>
        <w:tc>
          <w:tcPr/>
          <w:p>
            <w:pPr>
              <w:pStyle w:val="Compact"/>
            </w:pPr>
            <w:r>
              <w:t xml:space="preserve">36.7ppm</w:t>
            </w:r>
          </w:p>
        </w:tc>
      </w:tr>
      <w:tr>
        <w:tc>
          <w:tcPr/>
          <w:p>
            <w:pPr>
              <w:pStyle w:val="Compact"/>
            </w:pPr>
            <w:r>
              <w:rPr>
                <w:rFonts w:hint="eastAsia"/>
              </w:rPr>
              <w:t xml:space="preserve">乙烷</w:t>
            </w:r>
          </w:p>
        </w:tc>
        <w:tc>
          <w:tcPr/>
          <w:p>
            <w:pPr>
              <w:pStyle w:val="Compact"/>
            </w:pPr>
            <w:r>
              <w:rPr>
                <w:rFonts w:hint="eastAsia"/>
              </w:rPr>
              <w:t xml:space="preserve">CY二-04</w:t>
            </w:r>
          </w:p>
        </w:tc>
        <w:tc>
          <w:tcPr/>
          <w:p>
            <w:pPr>
              <w:pStyle w:val="Compact"/>
            </w:pPr>
            <w:r>
              <w:t xml:space="preserve">C1-C2</w:t>
            </w:r>
          </w:p>
        </w:tc>
        <w:tc>
          <w:tcPr/>
          <w:p>
            <w:pPr>
              <w:pStyle w:val="Compact"/>
            </w:pPr>
            <w:r>
              <w:t xml:space="preserve">6.5</w:t>
            </w:r>
          </w:p>
        </w:tc>
        <w:tc>
          <w:tcPr/>
          <w:p>
            <w:pPr>
              <w:pStyle w:val="Compact"/>
            </w:pPr>
            <w:r>
              <w:t xml:space="preserve">100%</w:t>
            </w:r>
          </w:p>
        </w:tc>
        <w:tc>
          <w:tcPr/>
          <w:p>
            <w:pPr>
              <w:pStyle w:val="Compact"/>
            </w:pPr>
          </w:p>
        </w:tc>
        <w:tc>
          <w:tcPr/>
          <w:p>
            <w:pPr>
              <w:pStyle w:val="Compact"/>
            </w:pPr>
            <w:r>
              <w:t xml:space="preserve">1ppm</w:t>
            </w:r>
          </w:p>
        </w:tc>
        <w:tc>
          <w:tcPr/>
          <w:p>
            <w:pPr>
              <w:pStyle w:val="Compact"/>
            </w:pPr>
            <w:r>
              <w:t xml:space="preserve">10ppm</w:t>
            </w:r>
          </w:p>
        </w:tc>
        <w:tc>
          <w:tcPr/>
          <w:p>
            <w:pPr>
              <w:pStyle w:val="Compact"/>
            </w:pPr>
            <w:r>
              <w:t xml:space="preserve">45.9ppm</w:t>
            </w:r>
          </w:p>
        </w:tc>
      </w:tr>
    </w:tbl>
    <w:p>
      <w:pPr>
        <w:pStyle w:val="Compact"/>
        <w:numPr>
          <w:ilvl w:val="0"/>
          <w:numId w:val="1015"/>
        </w:numPr>
      </w:pPr>
      <w:r>
        <w:rPr>
          <w:rFonts w:hint="eastAsia"/>
        </w:rPr>
        <w:t xml:space="preserve">风险分析结果</w:t>
      </w:r>
    </w:p>
    <w:p>
      <w:pPr>
        <w:pStyle w:val="FirstParagraph"/>
      </w:pPr>
      <w:r>
        <w:t xml:space="preserve">7.1 </w:t>
      </w:r>
      <w:r>
        <w:rPr>
          <w:rFonts w:hint="eastAsia"/>
        </w:rPr>
        <w:t xml:space="preserve">风险分布</w:t>
      </w:r>
    </w:p>
    <w:p>
      <w:pPr>
        <w:pStyle w:val="BodyText"/>
      </w:pPr>
      <w:r>
        <w:rPr>
          <w:rFonts w:hint="eastAsia"/>
        </w:rPr>
        <w:t xml:space="preserve">本次评估范围内设备风险矩阵见图7-1。</w:t>
      </w:r>
    </w:p>
    <w:p>
      <w:pPr>
        <w:pStyle w:val="BodyText"/>
      </w:pPr>
      <w:r>
        <w:rPr>
          <w:rFonts w:hint="eastAsia"/>
        </w:rPr>
        <w:t xml:space="preserve">图7-1</w:t>
      </w:r>
      <w:r>
        <w:t xml:space="preserve"> </w:t>
      </w:r>
      <w:r>
        <w:rPr>
          <w:rFonts w:hint="eastAsia"/>
        </w:rPr>
        <w:t xml:space="preserve">设备风险矩阵图</w:t>
      </w:r>
    </w:p>
    <w:p>
      <w:pPr>
        <w:pStyle w:val="BodyText"/>
      </w:pPr>
      <w:r>
        <w:t xml:space="preserve">7.2 </w:t>
      </w:r>
      <w:r>
        <w:rPr>
          <w:rFonts w:hint="eastAsia"/>
        </w:rPr>
        <w:t xml:space="preserve">风险统计</w:t>
      </w:r>
    </w:p>
    <w:p>
      <w:pPr>
        <w:pStyle w:val="BodyText"/>
      </w:pPr>
      <w:r>
        <w:rPr>
          <w:rFonts w:hint="eastAsia"/>
        </w:rPr>
        <w:t xml:space="preserve">表7-1</w:t>
      </w:r>
      <w:r>
        <w:t xml:space="preserve"> </w:t>
      </w:r>
      <w:r>
        <w:rPr>
          <w:rFonts w:hint="eastAsia"/>
        </w:rPr>
        <w:t xml:space="preserve">设备风险统计</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rFonts w:hint="eastAsia"/>
              </w:rPr>
              <w:t xml:space="preserve">类型</w:t>
            </w:r>
          </w:p>
        </w:tc>
        <w:tc>
          <w:tcPr/>
          <w:p>
            <w:pPr>
              <w:pStyle w:val="Compact"/>
            </w:pPr>
            <w:r>
              <w:rPr>
                <w:rFonts w:hint="eastAsia"/>
              </w:rPr>
              <w:t xml:space="preserve">高风险</w:t>
            </w:r>
          </w:p>
        </w:tc>
        <w:tc>
          <w:tcPr/>
          <w:p>
            <w:pPr>
              <w:pStyle w:val="Compact"/>
            </w:pPr>
            <w:r>
              <w:rPr>
                <w:rFonts w:hint="eastAsia"/>
              </w:rPr>
              <w:t xml:space="preserve">中高风险</w:t>
            </w:r>
          </w:p>
        </w:tc>
        <w:tc>
          <w:tcPr/>
          <w:p>
            <w:pPr>
              <w:pStyle w:val="Compact"/>
            </w:pPr>
            <w:r>
              <w:rPr>
                <w:rFonts w:hint="eastAsia"/>
              </w:rPr>
              <w:t xml:space="preserve">中风险</w:t>
            </w:r>
          </w:p>
        </w:tc>
        <w:tc>
          <w:tcPr/>
          <w:p>
            <w:pPr>
              <w:pStyle w:val="Compact"/>
            </w:pPr>
            <w:r>
              <w:rPr>
                <w:rFonts w:hint="eastAsia"/>
              </w:rPr>
              <w:t xml:space="preserve">低风险</w:t>
            </w:r>
          </w:p>
        </w:tc>
        <w:tc>
          <w:tcPr/>
          <w:p>
            <w:pPr>
              <w:pStyle w:val="Compact"/>
            </w:pPr>
            <w:r>
              <w:rPr>
                <w:rFonts w:hint="eastAsia"/>
              </w:rPr>
              <w:t xml:space="preserve">合计</w:t>
            </w:r>
          </w:p>
        </w:tc>
      </w:tr>
      <w:tr>
        <w:tc>
          <w:tcPr/>
          <w:p>
            <w:pPr>
              <w:pStyle w:val="Compact"/>
            </w:pPr>
            <w:r>
              <w:rPr>
                <w:rFonts w:hint="eastAsia"/>
              </w:rPr>
              <w:t xml:space="preserve">设备（台）</w:t>
            </w:r>
          </w:p>
        </w:tc>
        <w:tc>
          <w:tcPr/>
          <w:p>
            <w:pPr>
              <w:pStyle w:val="Compact"/>
            </w:pPr>
            <w:r>
              <w:t xml:space="preserve">0</w:t>
            </w:r>
          </w:p>
        </w:tc>
        <w:tc>
          <w:tcPr/>
          <w:p>
            <w:pPr>
              <w:pStyle w:val="Compact"/>
            </w:pPr>
            <w:r>
              <w:t xml:space="preserve">3</w:t>
            </w:r>
          </w:p>
        </w:tc>
        <w:tc>
          <w:tcPr/>
          <w:p>
            <w:pPr>
              <w:pStyle w:val="Compact"/>
            </w:pPr>
            <w:r>
              <w:t xml:space="preserve">1</w:t>
            </w:r>
          </w:p>
        </w:tc>
        <w:tc>
          <w:tcPr/>
          <w:p>
            <w:pPr>
              <w:pStyle w:val="Compact"/>
            </w:pPr>
            <w:r>
              <w:t xml:space="preserve">0</w:t>
            </w:r>
          </w:p>
        </w:tc>
        <w:tc>
          <w:tcPr/>
          <w:p>
            <w:pPr>
              <w:pStyle w:val="Compact"/>
            </w:pPr>
            <w:r>
              <w:t xml:space="preserve">4</w:t>
            </w:r>
          </w:p>
        </w:tc>
      </w:tr>
    </w:tbl>
    <w:p>
      <w:pPr>
        <w:pStyle w:val="FirstParagraph"/>
      </w:pPr>
      <w:r>
        <w:t xml:space="preserve">7.3 </w:t>
      </w:r>
      <w:r>
        <w:rPr>
          <w:rFonts w:hint="eastAsia"/>
        </w:rPr>
        <w:t xml:space="preserve">高风险、高失效可能性设备原因分析</w:t>
      </w:r>
    </w:p>
    <w:p>
      <w:pPr>
        <w:pStyle w:val="BodyText"/>
      </w:pPr>
      <w:r>
        <w:rPr>
          <w:rFonts w:hint="eastAsia"/>
        </w:rPr>
        <w:t xml:space="preserve">根据评估结果（见图7-1），本次评估范围无高风险、高失效可能性（失效可能性大于等于4）设备。</w:t>
      </w:r>
    </w:p>
    <w:p>
      <w:pPr>
        <w:pStyle w:val="BodyText"/>
      </w:pPr>
      <w:r>
        <w:t xml:space="preserve">7.4 </w:t>
      </w:r>
      <w:r>
        <w:rPr>
          <w:rFonts w:hint="eastAsia"/>
        </w:rPr>
        <w:t xml:space="preserve">降险措施</w:t>
      </w:r>
    </w:p>
    <w:p>
      <w:pPr>
        <w:pStyle w:val="BodyText"/>
      </w:pPr>
      <w:r>
        <w:rPr>
          <w:rFonts w:hint="eastAsia"/>
        </w:rPr>
        <w:t xml:space="preserve">本次评估范围内的设备，应加大现场巡检力度、完善泄漏报警设置、做好泄漏应急预案等。持续监测介质中硫化物和硫化氢含量。必要时增加在线检验或状态监测。如果在线检验或状态监测中发现影响安全运行的异常腐蚀情况，则需进行整改。</w:t>
      </w:r>
    </w:p>
    <w:p>
      <w:pPr>
        <w:pStyle w:val="Compact"/>
        <w:numPr>
          <w:ilvl w:val="0"/>
          <w:numId w:val="1016"/>
        </w:numPr>
      </w:pPr>
      <w:r>
        <w:rPr>
          <w:rFonts w:hint="eastAsia"/>
        </w:rPr>
        <w:t xml:space="preserve">检验策略</w:t>
      </w:r>
    </w:p>
    <w:p>
      <w:pPr>
        <w:pStyle w:val="FirstParagraph"/>
      </w:pPr>
      <w:r>
        <w:rPr>
          <w:rFonts w:hint="eastAsia"/>
        </w:rPr>
        <w:t xml:space="preserve">通过风险评估制定的检验策略为推荐性的，《固定式压力容器安全技术监察规程》（TSG</w:t>
      </w:r>
      <w:r>
        <w:t xml:space="preserve"> </w:t>
      </w:r>
      <w:r>
        <w:rPr>
          <w:rFonts w:hint="eastAsia"/>
        </w:rPr>
        <w:t xml:space="preserve">21-2016）中对此有专门说明。风险评估无法识别因人为错误、自然灾害、外部事件、人为破坏、检测能力限制、设计错误等因素导致的风险（见图8-1），检验本身也不能改变设备的状况，无法替代修理、更换服役的受损设备或超出工艺条件的要求。因此，所制定的检验策略并不能完全覆盖和解决这些影响因素所造成的实际问题，本策略所要求的检验手段及检验比例为最低标准，现场检验人员还应综合设计、制造及实际使用情况，在本策略的基础上做适当的调整，是否采用本策略应由现场检验人员与厂方协商决定。</w:t>
      </w:r>
    </w:p>
    <w:p>
      <w:pPr>
        <w:pStyle w:val="BodyText"/>
      </w:pPr>
      <w:r>
        <w:rPr>
          <w:rFonts w:hint="eastAsia"/>
        </w:rPr>
        <w:t xml:space="preserve">遇到某种无法通过检验程序降低风险的情况时，工厂有责任采取必要的补救措施：补救措施可以是返修、更换设备或者调整操作条件(降低等级)来降低风险或提高安全防范等级。</w:t>
      </w:r>
    </w:p>
    <w:p>
      <w:pPr>
        <w:pStyle w:val="BodyText"/>
      </w:pPr>
      <w:r>
        <w:t xml:space="preserve">8.1 </w:t>
      </w:r>
      <w:r>
        <w:rPr>
          <w:rFonts w:hint="eastAsia"/>
        </w:rPr>
        <w:t xml:space="preserve">检验策略制定的基本原则</w:t>
      </w:r>
    </w:p>
    <w:p>
      <w:pPr>
        <w:pStyle w:val="BodyText"/>
      </w:pPr>
      <w:r>
        <w:rPr>
          <w:rFonts w:hint="eastAsia"/>
        </w:rPr>
        <w:t xml:space="preserve">根据损伤模式和损伤机理来确定应检查的缺陷类型。</w:t>
      </w:r>
    </w:p>
    <w:p>
      <w:pPr>
        <w:pStyle w:val="BodyText"/>
      </w:pPr>
      <w:r>
        <w:rPr>
          <w:rFonts w:hint="eastAsia"/>
        </w:rPr>
        <w:t xml:space="preserve">根据损伤发生的情况来选择检验部位。</w:t>
      </w:r>
    </w:p>
    <w:p>
      <w:pPr>
        <w:pStyle w:val="BodyText"/>
      </w:pPr>
      <w:r>
        <w:rPr>
          <w:rFonts w:hint="eastAsia"/>
        </w:rPr>
        <w:t xml:space="preserve">根据需检测缺陷类型来选择采用何种检测方法。</w:t>
      </w:r>
    </w:p>
    <w:p>
      <w:pPr>
        <w:pStyle w:val="BodyText"/>
      </w:pPr>
      <w:r>
        <w:rPr>
          <w:rFonts w:hint="eastAsia"/>
        </w:rPr>
        <w:t xml:space="preserve">根据安全性与经济性协调统一的原则来确定检验周期。</w:t>
      </w:r>
    </w:p>
    <w:p>
      <w:pPr>
        <w:pStyle w:val="BodyText"/>
      </w:pPr>
      <w:r>
        <w:t xml:space="preserve">8.2 </w:t>
      </w:r>
      <w:r>
        <w:rPr>
          <w:rFonts w:hint="eastAsia"/>
        </w:rPr>
        <w:t xml:space="preserve">设备检验策略</w:t>
      </w:r>
    </w:p>
    <w:p>
      <w:pPr>
        <w:pStyle w:val="BodyText"/>
      </w:pPr>
      <w:r>
        <w:rPr>
          <w:rFonts w:hint="eastAsia"/>
        </w:rPr>
        <w:t xml:space="preserve">以设备部件为基本单元编制检验策略；</w:t>
      </w:r>
    </w:p>
    <w:p>
      <w:pPr>
        <w:pStyle w:val="BodyText"/>
      </w:pPr>
      <w:r>
        <w:rPr>
          <w:rFonts w:hint="eastAsia"/>
        </w:rPr>
        <w:t xml:space="preserve">由于壁厚是每次进行风险评估与再评估的关键数据，因此一般情况下宏观检查和测厚作为必检项目；</w:t>
      </w:r>
    </w:p>
    <w:p>
      <w:pPr>
        <w:pStyle w:val="BodyText"/>
      </w:pPr>
      <w:r>
        <w:rPr>
          <w:rFonts w:hint="eastAsia"/>
        </w:rPr>
        <w:t xml:space="preserve">插入式接管角焊缝、设备进出料接管及接管正对方位器壁、液位波动部位等，应加以重点检验；</w:t>
      </w:r>
    </w:p>
    <w:p>
      <w:pPr>
        <w:pStyle w:val="BodyText"/>
      </w:pPr>
      <w:r>
        <w:rPr>
          <w:rFonts w:hint="eastAsia"/>
        </w:rPr>
        <w:t xml:space="preserve">对仅存在减薄可能性的设备，应以宏观检查和测厚为主；</w:t>
      </w:r>
    </w:p>
    <w:p>
      <w:pPr>
        <w:pStyle w:val="BodyText"/>
      </w:pPr>
      <w:r>
        <w:rPr>
          <w:rFonts w:hint="eastAsia"/>
        </w:rPr>
        <w:t xml:space="preserve">对存在环境开裂失效模式的设备部件，应尽可能进入设备内部对焊缝部位进行湿荧光磁粉检测或渗透检测；不能进入的设备则进行外壁超声（或射线）检测；</w:t>
      </w:r>
    </w:p>
    <w:p>
      <w:pPr>
        <w:pStyle w:val="BodyText"/>
      </w:pPr>
      <w:r>
        <w:rPr>
          <w:rFonts w:hint="eastAsia"/>
        </w:rPr>
        <w:t xml:space="preserve">检验中发现分层，怀疑有氢鼓包或氢致开裂时，建议采用超声波进行扫查，必要时可辅以相控阵检测验证；</w:t>
      </w:r>
    </w:p>
    <w:p>
      <w:pPr>
        <w:pStyle w:val="BodyText"/>
      </w:pPr>
      <w:r>
        <w:rPr>
          <w:rFonts w:hint="eastAsia"/>
        </w:rPr>
        <w:t xml:space="preserve">对存在材料性能退化可能性的设备，应进行必要的金相和硬度检测或其他材质分析方法；</w:t>
      </w:r>
    </w:p>
    <w:p>
      <w:pPr>
        <w:pStyle w:val="BodyText"/>
      </w:pPr>
      <w:r>
        <w:rPr>
          <w:rFonts w:hint="eastAsia"/>
        </w:rPr>
        <w:t xml:space="preserve">对存在外部腐蚀可能性的设备（尤其是设备接管），重点拆除保温层对保温层异常部位（破损、脱落、潮湿、跑冷）进行检查，检查方式以宏观检查、超声测厚为主。当有怀疑时（尤其是外保温损坏的不锈钢设备），应进行表面裂纹检测。</w:t>
      </w:r>
    </w:p>
    <w:p>
      <w:pPr>
        <w:pStyle w:val="BodyText"/>
      </w:pPr>
      <w:r>
        <w:rPr>
          <w:rFonts w:hint="eastAsia"/>
        </w:rPr>
        <w:t xml:space="preserve">换热器管束检验方法以试压(检漏)为主；</w:t>
      </w:r>
    </w:p>
    <w:p>
      <w:pPr>
        <w:pStyle w:val="BodyText"/>
      </w:pPr>
      <w:r>
        <w:rPr>
          <w:rFonts w:hint="eastAsia"/>
        </w:rPr>
        <w:t xml:space="preserve">在具备条件的前提下，可采用远场涡流检测方法对空冷器、换热器的管束壁厚减薄情况进行检测；</w:t>
      </w:r>
    </w:p>
    <w:p>
      <w:pPr>
        <w:pStyle w:val="BodyText"/>
      </w:pPr>
      <w:r>
        <w:rPr>
          <w:rFonts w:hint="eastAsia"/>
        </w:rPr>
        <w:t xml:space="preserve">对于剩余壁厚报警的设备部件应进行在线壁厚监测，当剩余壁厚小于允许壁厚但又不能及时更换的设备应进行安全分析。</w:t>
      </w:r>
    </w:p>
    <w:p>
      <w:pPr>
        <w:pStyle w:val="BodyText"/>
      </w:pPr>
      <w:r>
        <w:rPr>
          <w:rFonts w:hint="eastAsia"/>
        </w:rPr>
        <w:t xml:space="preserve">详见附录2。</w:t>
      </w:r>
    </w:p>
    <w:p>
      <w:pPr>
        <w:pStyle w:val="BodyText"/>
      </w:pPr>
      <w:r>
        <w:rPr>
          <w:rFonts w:hint="eastAsia"/>
        </w:rPr>
        <w:t xml:space="preserve">图8-1</w:t>
      </w:r>
      <w:r>
        <w:t xml:space="preserve"> </w:t>
      </w:r>
      <w:r>
        <w:rPr>
          <w:rFonts w:hint="eastAsia"/>
        </w:rPr>
        <w:t xml:space="preserve">不可检测出的风险</w:t>
      </w:r>
    </w:p>
    <w:p>
      <w:pPr>
        <w:pStyle w:val="Compact"/>
        <w:numPr>
          <w:ilvl w:val="0"/>
          <w:numId w:val="1017"/>
        </w:numPr>
      </w:pPr>
      <w:r>
        <w:rPr>
          <w:rFonts w:hint="eastAsia"/>
        </w:rPr>
        <w:t xml:space="preserve">结束语</w:t>
      </w:r>
    </w:p>
    <w:p>
      <w:pPr>
        <w:pStyle w:val="FirstParagraph"/>
      </w:pPr>
      <w:r>
        <w:rPr>
          <w:rFonts w:hint="eastAsia"/>
        </w:rPr>
        <w:t xml:space="preserve">本次风险评估项目是在独山子石化公司领导及机动设备部的大力支持与帮助下，在液体储运装置领导及相关工作人员的大力合作下，得以顺利完成。在此，对独山子石化的领导及各成员表示衷心感谢！通过本次风险评估项目，我们希望厂方对此工作能持续关注，同时提出如下建议：</w:t>
      </w:r>
    </w:p>
    <w:p>
      <w:pPr>
        <w:pStyle w:val="BodyText"/>
      </w:pPr>
      <w:r>
        <w:rPr>
          <w:rFonts w:hint="eastAsia"/>
        </w:rPr>
        <w:t xml:space="preserve">1、RBI技术与节省检修费用两者的关系并不是充分必要的。优化检验策略、节约检修资源、节省检验费用只是RBI技术的一部分。RBI技术的目的是保障设备的安全、提高企业的管理水平、提高技术人员的技术水平、优化检验策略等。因此，希望通过本次RBI项目，能切实提高本企业的风险管理水平。</w:t>
      </w:r>
    </w:p>
    <w:p>
      <w:pPr>
        <w:pStyle w:val="BodyText"/>
      </w:pPr>
      <w:r>
        <w:rPr>
          <w:rFonts w:hint="eastAsia"/>
        </w:rPr>
        <w:t xml:space="preserve">2、风险评估和再评估结果的持续更新。RBI是一个动态的技术，可以对目前和未来的风险进行评估。评估是基于当前的数据和认识，随着时间的推移，风险会发生变化。风险评估应该用最新的检测数据、工艺数据与维护数据来进行持续的更新，这对装置风险管理的精细化、完整化具有重要意义。</w:t>
      </w:r>
    </w:p>
    <w:p>
      <w:pPr>
        <w:pStyle w:val="BodyText"/>
      </w:pPr>
      <w:r>
        <w:rPr>
          <w:rFonts w:hint="eastAsia"/>
        </w:rPr>
        <w:t xml:space="preserve">3、基于风险的检验是风险管理的一部分，企业应尽量将RBI、RCM(以可靠性为中心的维护)与SIL(安全连锁系统定量安全评估)协同发展，建立横向完整的风险管理体系。</w:t>
      </w:r>
    </w:p>
    <w:p>
      <w:pPr>
        <w:pStyle w:val="BodyText"/>
      </w:pPr>
      <w:r>
        <w:rPr>
          <w:rFonts w:hint="eastAsia"/>
        </w:rPr>
        <w:t xml:space="preserve">备注：</w:t>
      </w:r>
    </w:p>
    <w:p>
      <w:pPr>
        <w:pStyle w:val="BodyText"/>
      </w:pPr>
      <w:r>
        <w:rPr>
          <w:rFonts w:hint="eastAsia"/>
        </w:rPr>
        <w:t xml:space="preserve">本次风险评估的范围主要为装置部分压力容器，不包括加热炉等其他非压力容器、阀门以及泵、压缩机等其他动设备。</w:t>
      </w:r>
    </w:p>
    <w:p>
      <w:pPr>
        <w:pStyle w:val="BodyText"/>
      </w:pPr>
      <w:r>
        <w:rPr>
          <w:rFonts w:hint="eastAsia"/>
        </w:rPr>
        <w:t xml:space="preserve">本次风险评估主要根据装置RBI数据采集阶段的工况进行分析计算。如装置在使用过程中改变操作参数或工艺条件并超过设计条件的，需要重新进行风险评估。</w:t>
      </w:r>
    </w:p>
    <w:p>
      <w:pPr>
        <w:pStyle w:val="BodyText"/>
      </w:pPr>
      <w:r>
        <w:rPr>
          <w:rFonts w:hint="eastAsia"/>
        </w:rPr>
        <w:t xml:space="preserve">风险评估主要考虑的是装置在运行过程中工艺介质对设备可能产生的风险，不包括装置设计、制造、安装过程中可能存在的风险。</w:t>
      </w:r>
    </w:p>
    <w:p>
      <w:pPr>
        <w:pStyle w:val="BodyText"/>
      </w:pPr>
      <w:r>
        <w:rPr>
          <w:rFonts w:hint="eastAsia"/>
        </w:rPr>
        <w:t xml:space="preserve">附录</w:t>
      </w:r>
    </w:p>
    <w:p>
      <w:pPr>
        <w:pStyle w:val="BodyText"/>
      </w:pPr>
      <w:r>
        <w:rPr>
          <w:rFonts w:hint="eastAsia"/>
        </w:rPr>
        <w:t xml:space="preserve">附录1.</w:t>
      </w:r>
      <w:r>
        <w:t xml:space="preserve"> </w:t>
      </w:r>
      <w:r>
        <w:rPr>
          <w:rFonts w:hint="eastAsia"/>
        </w:rPr>
        <w:t xml:space="preserve">液体储运装置设备基础数据表</w:t>
      </w:r>
    </w:p>
    <w:p>
      <w:pPr>
        <w:pStyle w:val="BodyText"/>
      </w:pPr>
      <w:r>
        <w:rPr>
          <w:rFonts w:hint="eastAsia"/>
        </w:rPr>
        <w:t xml:space="preserve">附录2.</w:t>
      </w:r>
      <w:r>
        <w:t xml:space="preserve"> </w:t>
      </w:r>
      <w:r>
        <w:rPr>
          <w:rFonts w:hint="eastAsia"/>
        </w:rPr>
        <w:t xml:space="preserve">液体储运装置设备风险等级、损伤机理及检验策略</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3">
    <w:nsid w:val="00A9942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6">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5">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6">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7">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独山子石化储运二部液体储运装置部分压力容器RBI评估报告</dc:title>
  <dc:creator/>
  <cp:keywords/>
  <dcterms:created xsi:type="dcterms:W3CDTF">2026-10-14T00:42:00Z</dcterms:created>
  <dcterms:modified xsi:type="dcterms:W3CDTF">2026-10-14T00:42:00Z</dcterms:modified>
</cp:coreProperties>
</file>

<file path=docProps/custom.xml><?xml version="1.0" encoding="utf-8"?>
<Properties xmlns="http://schemas.openxmlformats.org/officeDocument/2006/custom-properties" xmlns:vt="http://schemas.openxmlformats.org/officeDocument/2006/docPropsVTypes"/>
</file>