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648B7">
      <w:pPr>
        <w:jc w:val="right"/>
        <w:rPr>
          <w:highlight w:val="none"/>
        </w:rPr>
      </w:pPr>
      <w:r>
        <w:rPr>
          <w:rFonts w:hint="eastAsia"/>
          <w:b/>
          <w:sz w:val="28"/>
          <w:szCs w:val="28"/>
          <w:highlight w:val="none"/>
        </w:rPr>
        <w:t>报告编号：2026-GJTJ-WEPEC-RBI-02</w:t>
      </w:r>
    </w:p>
    <w:p w14:paraId="17E09762">
      <w:pPr>
        <w:rPr>
          <w:color w:val="000000"/>
          <w:highlight w:val="none"/>
        </w:rPr>
      </w:pPr>
    </w:p>
    <w:p w14:paraId="1E1C4AAB">
      <w:pPr>
        <w:rPr>
          <w:color w:val="000000"/>
          <w:highlight w:val="none"/>
        </w:rPr>
      </w:pPr>
    </w:p>
    <w:p w14:paraId="3E694136">
      <w:pPr>
        <w:jc w:val="center"/>
        <w:rPr>
          <w:rFonts w:eastAsia="黑体"/>
          <w:bCs/>
          <w:sz w:val="48"/>
          <w:szCs w:val="48"/>
          <w:highlight w:val="none"/>
        </w:rPr>
      </w:pPr>
      <w:r>
        <w:rPr>
          <w:rFonts w:hint="eastAsia" w:eastAsia="黑体"/>
          <w:bCs/>
          <w:sz w:val="48"/>
          <w:szCs w:val="48"/>
          <w:highlight w:val="none"/>
        </w:rPr>
        <w:t>大连西太平洋石油化工有限公司</w:t>
      </w:r>
    </w:p>
    <w:p w14:paraId="66F78C35">
      <w:pPr>
        <w:jc w:val="center"/>
        <w:rPr>
          <w:rFonts w:eastAsia="黑体"/>
          <w:color w:val="000000"/>
          <w:sz w:val="48"/>
          <w:szCs w:val="44"/>
          <w:highlight w:val="none"/>
        </w:rPr>
      </w:pPr>
      <w:r>
        <w:rPr>
          <w:rFonts w:hint="eastAsia" w:eastAsia="黑体"/>
          <w:color w:val="000000"/>
          <w:sz w:val="48"/>
          <w:szCs w:val="44"/>
          <w:highlight w:val="none"/>
        </w:rPr>
        <w:t>储运部</w:t>
      </w:r>
      <w:r>
        <w:rPr>
          <w:rFonts w:hint="eastAsia" w:eastAsia="黑体"/>
          <w:color w:val="000000"/>
          <w:sz w:val="48"/>
          <w:szCs w:val="44"/>
          <w:highlight w:val="none"/>
          <w:lang w:eastAsia="zh-CN"/>
        </w:rPr>
        <w:t>等</w:t>
      </w:r>
      <w:r>
        <w:rPr>
          <w:rFonts w:hint="eastAsia" w:eastAsia="黑体"/>
          <w:color w:val="000000"/>
          <w:sz w:val="48"/>
          <w:szCs w:val="44"/>
          <w:highlight w:val="none"/>
        </w:rPr>
        <w:t>安全阀</w:t>
      </w:r>
    </w:p>
    <w:p w14:paraId="41CAB40E">
      <w:pPr>
        <w:jc w:val="center"/>
        <w:rPr>
          <w:rFonts w:eastAsia="黑体"/>
          <w:bCs/>
          <w:color w:val="000000"/>
          <w:sz w:val="52"/>
          <w:szCs w:val="44"/>
          <w:highlight w:val="none"/>
        </w:rPr>
      </w:pPr>
      <w:r>
        <w:rPr>
          <w:rFonts w:hint="eastAsia" w:eastAsia="黑体"/>
          <w:bCs/>
          <w:color w:val="000000"/>
          <w:sz w:val="52"/>
          <w:szCs w:val="44"/>
          <w:highlight w:val="none"/>
        </w:rPr>
        <w:t>基于风险的检验</w:t>
      </w:r>
      <w:r>
        <w:rPr>
          <w:rFonts w:eastAsia="黑体"/>
          <w:bCs/>
          <w:color w:val="000000"/>
          <w:sz w:val="52"/>
          <w:szCs w:val="44"/>
          <w:highlight w:val="none"/>
        </w:rPr>
        <w:t>(RBI)</w:t>
      </w:r>
      <w:r>
        <w:rPr>
          <w:rFonts w:hint="eastAsia" w:eastAsia="黑体"/>
          <w:bCs/>
          <w:color w:val="000000"/>
          <w:sz w:val="52"/>
          <w:szCs w:val="44"/>
          <w:highlight w:val="none"/>
        </w:rPr>
        <w:t>评估</w:t>
      </w:r>
      <w:r>
        <w:rPr>
          <w:rFonts w:eastAsia="黑体"/>
          <w:bCs/>
          <w:color w:val="000000"/>
          <w:sz w:val="52"/>
          <w:szCs w:val="44"/>
          <w:highlight w:val="none"/>
        </w:rPr>
        <w:t>报告</w:t>
      </w:r>
    </w:p>
    <w:p w14:paraId="186A5F05">
      <w:pPr>
        <w:jc w:val="center"/>
        <w:rPr>
          <w:rFonts w:eastAsia="黑体"/>
          <w:bCs/>
          <w:color w:val="000000"/>
          <w:sz w:val="52"/>
          <w:highlight w:val="none"/>
        </w:rPr>
      </w:pPr>
    </w:p>
    <w:p w14:paraId="43CC05CD">
      <w:pPr>
        <w:jc w:val="center"/>
        <w:rPr>
          <w:rFonts w:eastAsia="黑体"/>
          <w:bCs/>
          <w:color w:val="000000"/>
          <w:sz w:val="52"/>
          <w:highlight w:val="none"/>
        </w:rPr>
      </w:pPr>
    </w:p>
    <w:p w14:paraId="05077227">
      <w:pPr>
        <w:rPr>
          <w:rFonts w:hint="eastAsia" w:ascii="楷体_GB2312" w:hAnsi="宋体" w:eastAsia="楷体_GB2312"/>
          <w:bCs/>
          <w:color w:val="000000"/>
          <w:sz w:val="28"/>
          <w:szCs w:val="28"/>
          <w:highlight w:val="none"/>
        </w:rPr>
      </w:pPr>
    </w:p>
    <w:p w14:paraId="09B2EC22">
      <w:pPr>
        <w:rPr>
          <w:rFonts w:hint="eastAsia" w:ascii="楷体_GB2312" w:hAnsi="宋体" w:eastAsia="楷体_GB2312"/>
          <w:bCs/>
          <w:color w:val="000000"/>
          <w:sz w:val="28"/>
          <w:szCs w:val="28"/>
          <w:highlight w:val="none"/>
        </w:rPr>
      </w:pPr>
      <w:r>
        <w:rPr>
          <w:rFonts w:hint="eastAsia" w:ascii="楷体_GB2312" w:hAnsi="宋体" w:eastAsia="楷体_GB2312"/>
          <w:bCs/>
          <w:color w:val="000000"/>
          <w:sz w:val="28"/>
          <w:szCs w:val="28"/>
          <w:highlight w:val="none"/>
        </w:rPr>
        <w:t xml:space="preserve"> </w:t>
      </w:r>
    </w:p>
    <w:p w14:paraId="30197D0A">
      <w:pPr>
        <w:snapToGrid w:val="0"/>
        <w:jc w:val="center"/>
        <w:rPr>
          <w:rFonts w:eastAsia="黑体"/>
          <w:bCs/>
          <w:color w:val="000000"/>
          <w:sz w:val="52"/>
          <w:highlight w:val="none"/>
        </w:rPr>
      </w:pPr>
    </w:p>
    <w:p w14:paraId="5CDEB44F">
      <w:pPr>
        <w:snapToGrid w:val="0"/>
        <w:jc w:val="center"/>
        <w:rPr>
          <w:rFonts w:eastAsia="黑体"/>
          <w:bCs/>
          <w:color w:val="000000"/>
          <w:sz w:val="52"/>
          <w:highlight w:val="none"/>
        </w:rPr>
      </w:pPr>
    </w:p>
    <w:p w14:paraId="66B82612">
      <w:pPr>
        <w:snapToGrid w:val="0"/>
        <w:jc w:val="center"/>
        <w:rPr>
          <w:rFonts w:eastAsia="黑体"/>
          <w:bCs/>
          <w:color w:val="000000"/>
          <w:sz w:val="52"/>
          <w:highlight w:val="none"/>
        </w:rPr>
      </w:pPr>
    </w:p>
    <w:p w14:paraId="4199658B">
      <w:pPr>
        <w:snapToGrid w:val="0"/>
        <w:jc w:val="center"/>
        <w:rPr>
          <w:rFonts w:eastAsia="黑体"/>
          <w:bCs/>
          <w:color w:val="000000"/>
          <w:sz w:val="52"/>
          <w:highlight w:val="none"/>
        </w:rPr>
      </w:pPr>
    </w:p>
    <w:p w14:paraId="34D959A4">
      <w:pPr>
        <w:snapToGrid w:val="0"/>
        <w:jc w:val="center"/>
        <w:rPr>
          <w:rFonts w:eastAsia="黑体"/>
          <w:bCs/>
          <w:color w:val="000000"/>
          <w:sz w:val="52"/>
          <w:highlight w:val="none"/>
        </w:rPr>
      </w:pPr>
    </w:p>
    <w:p w14:paraId="1150C1BF">
      <w:pPr>
        <w:snapToGrid w:val="0"/>
        <w:jc w:val="center"/>
        <w:rPr>
          <w:rFonts w:eastAsia="黑体"/>
          <w:bCs/>
          <w:color w:val="000000"/>
          <w:sz w:val="52"/>
          <w:highlight w:val="none"/>
        </w:rPr>
      </w:pPr>
    </w:p>
    <w:p w14:paraId="622575B5">
      <w:pPr>
        <w:snapToGrid w:val="0"/>
        <w:jc w:val="center"/>
        <w:rPr>
          <w:rFonts w:eastAsia="黑体"/>
          <w:bCs/>
          <w:color w:val="000000"/>
          <w:sz w:val="52"/>
          <w:highlight w:val="none"/>
        </w:rPr>
      </w:pPr>
    </w:p>
    <w:p w14:paraId="522178DE">
      <w:pPr>
        <w:jc w:val="center"/>
        <w:rPr>
          <w:rFonts w:eastAsia="楷体_GB2312"/>
          <w:bCs/>
          <w:color w:val="000000"/>
          <w:sz w:val="30"/>
          <w:szCs w:val="30"/>
          <w:highlight w:val="none"/>
        </w:rPr>
      </w:pPr>
      <w:r>
        <w:rPr>
          <w:rFonts w:hint="eastAsia" w:eastAsia="楷体_GB2312"/>
          <w:bCs/>
          <w:color w:val="000000"/>
          <w:sz w:val="30"/>
          <w:szCs w:val="30"/>
          <w:highlight w:val="none"/>
        </w:rPr>
        <w:t>国机特种设备检验有限公司</w:t>
      </w:r>
    </w:p>
    <w:p w14:paraId="6926CDDD">
      <w:pPr>
        <w:jc w:val="center"/>
        <w:rPr>
          <w:rFonts w:eastAsia="楷体_GB2312"/>
          <w:bCs/>
          <w:color w:val="000000"/>
          <w:sz w:val="30"/>
          <w:szCs w:val="30"/>
          <w:highlight w:val="none"/>
        </w:rPr>
      </w:pPr>
    </w:p>
    <w:p w14:paraId="10B482BC">
      <w:pPr>
        <w:jc w:val="center"/>
        <w:rPr>
          <w:rFonts w:eastAsia="楷体_GB2312"/>
          <w:bCs/>
          <w:color w:val="000000"/>
          <w:sz w:val="30"/>
          <w:szCs w:val="30"/>
          <w:highlight w:val="none"/>
        </w:rPr>
        <w:sectPr>
          <w:headerReference r:id="rId3" w:type="default"/>
          <w:footerReference r:id="rId4" w:type="even"/>
          <w:pgSz w:w="11906" w:h="16838"/>
          <w:pgMar w:top="1418" w:right="1418" w:bottom="1418" w:left="1701" w:header="1134" w:footer="1134" w:gutter="0"/>
          <w:cols w:space="720" w:num="1"/>
          <w:titlePg/>
          <w:docGrid w:type="lines" w:linePitch="460" w:charSpace="0"/>
        </w:sectPr>
      </w:pPr>
    </w:p>
    <w:p w14:paraId="78082BE7">
      <w:pPr>
        <w:jc w:val="right"/>
        <w:rPr>
          <w:highlight w:val="none"/>
        </w:rPr>
      </w:pPr>
      <w:bookmarkStart w:id="0" w:name="_Toc98261271"/>
      <w:r>
        <w:rPr>
          <w:rFonts w:hint="eastAsia"/>
          <w:b/>
          <w:sz w:val="28"/>
          <w:szCs w:val="28"/>
          <w:highlight w:val="none"/>
        </w:rPr>
        <w:t>报告编号：2026-GJTJ-WEPEC-RBI-02</w:t>
      </w:r>
    </w:p>
    <w:p w14:paraId="6C89334D">
      <w:pPr>
        <w:jc w:val="right"/>
        <w:rPr>
          <w:b/>
          <w:color w:val="000000"/>
          <w:sz w:val="28"/>
          <w:szCs w:val="28"/>
          <w:highlight w:val="none"/>
        </w:rPr>
      </w:pPr>
    </w:p>
    <w:p w14:paraId="668210E0">
      <w:pPr>
        <w:rPr>
          <w:color w:val="000000"/>
          <w:highlight w:val="none"/>
        </w:rPr>
      </w:pPr>
    </w:p>
    <w:p w14:paraId="26CE3D9D">
      <w:pPr>
        <w:jc w:val="center"/>
        <w:rPr>
          <w:rFonts w:eastAsia="黑体"/>
          <w:bCs/>
          <w:sz w:val="48"/>
          <w:szCs w:val="48"/>
          <w:highlight w:val="none"/>
        </w:rPr>
      </w:pPr>
      <w:r>
        <w:rPr>
          <w:rFonts w:hint="eastAsia" w:eastAsia="黑体"/>
          <w:bCs/>
          <w:sz w:val="48"/>
          <w:szCs w:val="48"/>
          <w:highlight w:val="none"/>
        </w:rPr>
        <w:t>大连西太平洋石油化工有限公司</w:t>
      </w:r>
    </w:p>
    <w:p w14:paraId="511E7A83">
      <w:pPr>
        <w:jc w:val="center"/>
        <w:rPr>
          <w:rFonts w:eastAsia="黑体"/>
          <w:color w:val="000000"/>
          <w:sz w:val="48"/>
          <w:szCs w:val="44"/>
          <w:highlight w:val="none"/>
        </w:rPr>
      </w:pPr>
      <w:r>
        <w:rPr>
          <w:rFonts w:hint="eastAsia" w:eastAsia="黑体"/>
          <w:color w:val="000000"/>
          <w:sz w:val="48"/>
          <w:szCs w:val="44"/>
          <w:highlight w:val="none"/>
        </w:rPr>
        <w:t>储运部</w:t>
      </w:r>
      <w:r>
        <w:rPr>
          <w:rFonts w:hint="eastAsia" w:eastAsia="黑体"/>
          <w:color w:val="000000"/>
          <w:sz w:val="48"/>
          <w:szCs w:val="44"/>
          <w:highlight w:val="none"/>
          <w:lang w:eastAsia="zh-CN"/>
        </w:rPr>
        <w:t>等</w:t>
      </w:r>
      <w:r>
        <w:rPr>
          <w:rFonts w:hint="eastAsia" w:eastAsia="黑体"/>
          <w:color w:val="000000"/>
          <w:sz w:val="48"/>
          <w:szCs w:val="44"/>
          <w:highlight w:val="none"/>
        </w:rPr>
        <w:t>安全阀</w:t>
      </w:r>
    </w:p>
    <w:p w14:paraId="194EE290">
      <w:pPr>
        <w:jc w:val="center"/>
        <w:rPr>
          <w:rFonts w:eastAsia="黑体"/>
          <w:bCs/>
          <w:color w:val="000000"/>
          <w:sz w:val="52"/>
          <w:szCs w:val="44"/>
          <w:highlight w:val="none"/>
        </w:rPr>
      </w:pPr>
      <w:r>
        <w:rPr>
          <w:rFonts w:hint="eastAsia" w:eastAsia="黑体"/>
          <w:bCs/>
          <w:color w:val="000000"/>
          <w:sz w:val="52"/>
          <w:szCs w:val="44"/>
          <w:highlight w:val="none"/>
        </w:rPr>
        <w:t>基于风险的检验</w:t>
      </w:r>
      <w:r>
        <w:rPr>
          <w:rFonts w:eastAsia="黑体"/>
          <w:bCs/>
          <w:color w:val="000000"/>
          <w:sz w:val="52"/>
          <w:szCs w:val="44"/>
          <w:highlight w:val="none"/>
        </w:rPr>
        <w:t>(RBI)</w:t>
      </w:r>
      <w:r>
        <w:rPr>
          <w:rFonts w:hint="eastAsia" w:eastAsia="黑体"/>
          <w:bCs/>
          <w:color w:val="000000"/>
          <w:sz w:val="52"/>
          <w:szCs w:val="44"/>
          <w:highlight w:val="none"/>
        </w:rPr>
        <w:t>评估</w:t>
      </w:r>
      <w:r>
        <w:rPr>
          <w:rFonts w:eastAsia="黑体"/>
          <w:bCs/>
          <w:color w:val="000000"/>
          <w:sz w:val="52"/>
          <w:szCs w:val="44"/>
          <w:highlight w:val="none"/>
        </w:rPr>
        <w:t>报告</w:t>
      </w:r>
    </w:p>
    <w:p w14:paraId="0256622B">
      <w:pPr>
        <w:jc w:val="center"/>
        <w:rPr>
          <w:rFonts w:eastAsia="黑体"/>
          <w:bCs/>
          <w:color w:val="000000"/>
          <w:sz w:val="52"/>
          <w:highlight w:val="none"/>
        </w:rPr>
      </w:pPr>
    </w:p>
    <w:p w14:paraId="4700B368">
      <w:pPr>
        <w:jc w:val="center"/>
        <w:rPr>
          <w:rFonts w:eastAsia="黑体"/>
          <w:bCs/>
          <w:color w:val="000000"/>
          <w:sz w:val="52"/>
          <w:highlight w:val="none"/>
        </w:rPr>
      </w:pPr>
    </w:p>
    <w:p w14:paraId="00EF87EF">
      <w:pPr>
        <w:rPr>
          <w:rFonts w:hint="eastAsia" w:ascii="楷体_GB2312" w:hAnsi="宋体" w:eastAsia="楷体_GB2312"/>
          <w:bCs/>
          <w:color w:val="000000"/>
          <w:sz w:val="28"/>
          <w:szCs w:val="28"/>
          <w:highlight w:val="none"/>
        </w:rPr>
      </w:pPr>
    </w:p>
    <w:p w14:paraId="003E9C91">
      <w:pPr>
        <w:rPr>
          <w:rFonts w:hint="eastAsia" w:ascii="楷体_GB2312" w:hAnsi="宋体" w:eastAsia="楷体_GB2312"/>
          <w:bCs/>
          <w:color w:val="000000"/>
          <w:sz w:val="28"/>
          <w:szCs w:val="28"/>
          <w:highlight w:val="none"/>
        </w:rPr>
      </w:pPr>
      <w:r>
        <w:rPr>
          <w:rFonts w:hint="eastAsia" w:ascii="楷体_GB2312" w:hAnsi="宋体" w:eastAsia="楷体_GB2312"/>
          <w:bCs/>
          <w:color w:val="000000"/>
          <w:sz w:val="28"/>
          <w:szCs w:val="28"/>
          <w:highlight w:val="none"/>
        </w:rPr>
        <w:t xml:space="preserve"> </w:t>
      </w:r>
    </w:p>
    <w:tbl>
      <w:tblPr>
        <w:tblStyle w:val="30"/>
        <w:tblW w:w="0" w:type="auto"/>
        <w:jc w:val="center"/>
        <w:tblLayout w:type="fixed"/>
        <w:tblCellMar>
          <w:top w:w="0" w:type="dxa"/>
          <w:left w:w="108" w:type="dxa"/>
          <w:bottom w:w="0" w:type="dxa"/>
          <w:right w:w="108" w:type="dxa"/>
        </w:tblCellMar>
      </w:tblPr>
      <w:tblGrid>
        <w:gridCol w:w="1215"/>
        <w:gridCol w:w="3823"/>
      </w:tblGrid>
      <w:tr w14:paraId="394DCC19">
        <w:tblPrEx>
          <w:tblCellMar>
            <w:top w:w="0" w:type="dxa"/>
            <w:left w:w="108" w:type="dxa"/>
            <w:bottom w:w="0" w:type="dxa"/>
            <w:right w:w="108" w:type="dxa"/>
          </w:tblCellMar>
        </w:tblPrEx>
        <w:trPr>
          <w:trHeight w:val="869" w:hRule="atLeast"/>
          <w:jc w:val="center"/>
        </w:trPr>
        <w:tc>
          <w:tcPr>
            <w:tcW w:w="1215" w:type="dxa"/>
            <w:vAlign w:val="bottom"/>
          </w:tcPr>
          <w:p w14:paraId="7D0917C0">
            <w:pPr>
              <w:jc w:val="center"/>
              <w:rPr>
                <w:bCs/>
                <w:color w:val="000000"/>
                <w:sz w:val="32"/>
                <w:highlight w:val="none"/>
              </w:rPr>
            </w:pPr>
            <w:r>
              <w:rPr>
                <w:bCs/>
                <w:color w:val="000000"/>
                <w:sz w:val="32"/>
                <w:highlight w:val="none"/>
              </w:rPr>
              <w:t>编制：</w:t>
            </w:r>
          </w:p>
        </w:tc>
        <w:tc>
          <w:tcPr>
            <w:tcW w:w="3823" w:type="dxa"/>
            <w:tcBorders>
              <w:bottom w:val="single" w:color="auto" w:sz="4" w:space="0"/>
            </w:tcBorders>
            <w:vAlign w:val="bottom"/>
          </w:tcPr>
          <w:p w14:paraId="60E12B7A">
            <w:pPr>
              <w:jc w:val="center"/>
              <w:rPr>
                <w:rFonts w:eastAsia="楷体_GB2312"/>
                <w:bCs/>
                <w:color w:val="000000"/>
                <w:sz w:val="32"/>
                <w:szCs w:val="30"/>
                <w:highlight w:val="none"/>
              </w:rPr>
            </w:pPr>
          </w:p>
        </w:tc>
      </w:tr>
      <w:tr w14:paraId="35EAC715">
        <w:tblPrEx>
          <w:tblCellMar>
            <w:top w:w="0" w:type="dxa"/>
            <w:left w:w="108" w:type="dxa"/>
            <w:bottom w:w="0" w:type="dxa"/>
            <w:right w:w="108" w:type="dxa"/>
          </w:tblCellMar>
        </w:tblPrEx>
        <w:trPr>
          <w:trHeight w:val="869" w:hRule="atLeast"/>
          <w:jc w:val="center"/>
        </w:trPr>
        <w:tc>
          <w:tcPr>
            <w:tcW w:w="1215" w:type="dxa"/>
            <w:vAlign w:val="bottom"/>
          </w:tcPr>
          <w:p w14:paraId="789BC0AF">
            <w:pPr>
              <w:jc w:val="center"/>
              <w:rPr>
                <w:bCs/>
                <w:color w:val="000000"/>
                <w:sz w:val="32"/>
                <w:highlight w:val="none"/>
              </w:rPr>
            </w:pPr>
            <w:r>
              <w:rPr>
                <w:rFonts w:hint="eastAsia"/>
                <w:bCs/>
                <w:color w:val="000000"/>
                <w:sz w:val="32"/>
                <w:highlight w:val="none"/>
              </w:rPr>
              <w:t>校对：</w:t>
            </w:r>
          </w:p>
        </w:tc>
        <w:tc>
          <w:tcPr>
            <w:tcW w:w="3823" w:type="dxa"/>
            <w:tcBorders>
              <w:bottom w:val="single" w:color="auto" w:sz="4" w:space="0"/>
            </w:tcBorders>
            <w:vAlign w:val="bottom"/>
          </w:tcPr>
          <w:p w14:paraId="0A3BDF1B">
            <w:pPr>
              <w:jc w:val="center"/>
              <w:rPr>
                <w:rFonts w:eastAsia="楷体_GB2312"/>
                <w:bCs/>
                <w:color w:val="000000"/>
                <w:sz w:val="32"/>
                <w:szCs w:val="30"/>
                <w:highlight w:val="none"/>
              </w:rPr>
            </w:pPr>
          </w:p>
        </w:tc>
      </w:tr>
      <w:tr w14:paraId="2CCB1C01">
        <w:tblPrEx>
          <w:tblCellMar>
            <w:top w:w="0" w:type="dxa"/>
            <w:left w:w="108" w:type="dxa"/>
            <w:bottom w:w="0" w:type="dxa"/>
            <w:right w:w="108" w:type="dxa"/>
          </w:tblCellMar>
        </w:tblPrEx>
        <w:trPr>
          <w:trHeight w:val="869" w:hRule="atLeast"/>
          <w:jc w:val="center"/>
        </w:trPr>
        <w:tc>
          <w:tcPr>
            <w:tcW w:w="1215" w:type="dxa"/>
            <w:vAlign w:val="bottom"/>
          </w:tcPr>
          <w:p w14:paraId="0AE433EB">
            <w:pPr>
              <w:jc w:val="center"/>
              <w:rPr>
                <w:bCs/>
                <w:color w:val="000000"/>
                <w:sz w:val="32"/>
                <w:highlight w:val="none"/>
              </w:rPr>
            </w:pPr>
            <w:r>
              <w:rPr>
                <w:bCs/>
                <w:color w:val="000000"/>
                <w:sz w:val="32"/>
                <w:highlight w:val="none"/>
              </w:rPr>
              <w:t>审核：</w:t>
            </w:r>
          </w:p>
        </w:tc>
        <w:tc>
          <w:tcPr>
            <w:tcW w:w="3823" w:type="dxa"/>
            <w:tcBorders>
              <w:top w:val="single" w:color="auto" w:sz="4" w:space="0"/>
              <w:bottom w:val="single" w:color="auto" w:sz="4" w:space="0"/>
            </w:tcBorders>
            <w:vAlign w:val="bottom"/>
          </w:tcPr>
          <w:p w14:paraId="6FA87631">
            <w:pPr>
              <w:jc w:val="center"/>
              <w:rPr>
                <w:rFonts w:eastAsia="楷体_GB2312"/>
                <w:bCs/>
                <w:color w:val="000000"/>
                <w:sz w:val="32"/>
                <w:szCs w:val="30"/>
                <w:highlight w:val="none"/>
              </w:rPr>
            </w:pPr>
          </w:p>
        </w:tc>
      </w:tr>
      <w:tr w14:paraId="0EB85B43">
        <w:tblPrEx>
          <w:tblCellMar>
            <w:top w:w="0" w:type="dxa"/>
            <w:left w:w="108" w:type="dxa"/>
            <w:bottom w:w="0" w:type="dxa"/>
            <w:right w:w="108" w:type="dxa"/>
          </w:tblCellMar>
        </w:tblPrEx>
        <w:trPr>
          <w:trHeight w:val="869" w:hRule="atLeast"/>
          <w:jc w:val="center"/>
        </w:trPr>
        <w:tc>
          <w:tcPr>
            <w:tcW w:w="1215" w:type="dxa"/>
            <w:vAlign w:val="bottom"/>
          </w:tcPr>
          <w:p w14:paraId="06FE22EA">
            <w:pPr>
              <w:jc w:val="center"/>
              <w:rPr>
                <w:bCs/>
                <w:color w:val="000000"/>
                <w:sz w:val="32"/>
                <w:highlight w:val="none"/>
              </w:rPr>
            </w:pPr>
            <w:r>
              <w:rPr>
                <w:bCs/>
                <w:color w:val="000000"/>
                <w:sz w:val="32"/>
                <w:highlight w:val="none"/>
              </w:rPr>
              <w:t>批准：</w:t>
            </w:r>
          </w:p>
        </w:tc>
        <w:tc>
          <w:tcPr>
            <w:tcW w:w="3823" w:type="dxa"/>
            <w:tcBorders>
              <w:top w:val="single" w:color="auto" w:sz="4" w:space="0"/>
              <w:bottom w:val="single" w:color="auto" w:sz="4" w:space="0"/>
            </w:tcBorders>
            <w:vAlign w:val="bottom"/>
          </w:tcPr>
          <w:p w14:paraId="5E8E2899">
            <w:pPr>
              <w:jc w:val="center"/>
              <w:rPr>
                <w:rFonts w:eastAsia="楷体_GB2312"/>
                <w:bCs/>
                <w:color w:val="000000"/>
                <w:sz w:val="32"/>
                <w:szCs w:val="30"/>
                <w:highlight w:val="none"/>
              </w:rPr>
            </w:pPr>
          </w:p>
        </w:tc>
      </w:tr>
    </w:tbl>
    <w:p w14:paraId="5191DF79">
      <w:pPr>
        <w:snapToGrid w:val="0"/>
        <w:jc w:val="center"/>
        <w:rPr>
          <w:rFonts w:eastAsia="黑体"/>
          <w:bCs/>
          <w:color w:val="000000"/>
          <w:sz w:val="52"/>
          <w:highlight w:val="none"/>
        </w:rPr>
      </w:pPr>
    </w:p>
    <w:p w14:paraId="6436FF65">
      <w:pPr>
        <w:jc w:val="center"/>
        <w:rPr>
          <w:rFonts w:eastAsia="楷体_GB2312"/>
          <w:bCs/>
          <w:color w:val="000000"/>
          <w:sz w:val="30"/>
          <w:szCs w:val="30"/>
          <w:highlight w:val="none"/>
        </w:rPr>
      </w:pPr>
      <w:r>
        <w:rPr>
          <w:rFonts w:hint="eastAsia" w:eastAsia="楷体_GB2312"/>
          <w:bCs/>
          <w:color w:val="000000"/>
          <w:sz w:val="30"/>
          <w:szCs w:val="30"/>
          <w:highlight w:val="none"/>
        </w:rPr>
        <w:t>国机特种设备检验有限公司</w:t>
      </w:r>
    </w:p>
    <w:p w14:paraId="2CF0A8C0">
      <w:pPr>
        <w:jc w:val="center"/>
        <w:rPr>
          <w:color w:val="000000"/>
          <w:highlight w:val="none"/>
        </w:rPr>
      </w:pPr>
      <w:r>
        <w:rPr>
          <w:rFonts w:hint="eastAsia" w:eastAsia="楷体_GB2312"/>
          <w:bCs/>
          <w:color w:val="000000"/>
          <w:sz w:val="30"/>
          <w:szCs w:val="30"/>
          <w:highlight w:val="none"/>
        </w:rPr>
        <w:t>2026</w:t>
      </w:r>
      <w:r>
        <w:rPr>
          <w:rFonts w:eastAsia="楷体_GB2312"/>
          <w:bCs/>
          <w:color w:val="000000"/>
          <w:sz w:val="30"/>
          <w:szCs w:val="30"/>
          <w:highlight w:val="none"/>
        </w:rPr>
        <w:t>年</w:t>
      </w:r>
      <w:r>
        <w:rPr>
          <w:rFonts w:hint="eastAsia" w:eastAsia="楷体_GB2312"/>
          <w:bCs/>
          <w:color w:val="000000"/>
          <w:sz w:val="30"/>
          <w:szCs w:val="30"/>
          <w:highlight w:val="none"/>
        </w:rPr>
        <w:t>6</w:t>
      </w:r>
      <w:r>
        <w:rPr>
          <w:rFonts w:eastAsia="楷体_GB2312"/>
          <w:bCs/>
          <w:color w:val="000000"/>
          <w:sz w:val="30"/>
          <w:szCs w:val="30"/>
          <w:highlight w:val="none"/>
        </w:rPr>
        <w:t>月</w:t>
      </w:r>
    </w:p>
    <w:p w14:paraId="2786862C">
      <w:pPr>
        <w:pStyle w:val="21"/>
        <w:rPr>
          <w:color w:val="000000"/>
          <w:highlight w:val="none"/>
        </w:rPr>
        <w:sectPr>
          <w:footerReference r:id="rId5" w:type="default"/>
          <w:footerReference r:id="rId6" w:type="even"/>
          <w:pgSz w:w="11906" w:h="16838"/>
          <w:pgMar w:top="1418" w:right="1418" w:bottom="1418" w:left="1701" w:header="1134" w:footer="1134" w:gutter="0"/>
          <w:pgNumType w:fmt="upperRoman" w:start="1"/>
          <w:cols w:space="720" w:num="1"/>
          <w:titlePg/>
          <w:docGrid w:type="lines" w:linePitch="460" w:charSpace="0"/>
        </w:sectPr>
      </w:pPr>
    </w:p>
    <w:p w14:paraId="6ED61734">
      <w:pPr>
        <w:pStyle w:val="21"/>
        <w:rPr>
          <w:rFonts w:eastAsia="黑体"/>
          <w:color w:val="000000"/>
          <w:sz w:val="36"/>
          <w:highlight w:val="none"/>
        </w:rPr>
      </w:pPr>
      <w:r>
        <w:rPr>
          <w:rFonts w:eastAsia="黑体"/>
          <w:color w:val="000000"/>
          <w:sz w:val="36"/>
          <w:highlight w:val="none"/>
        </w:rPr>
        <w:t>目　录</w:t>
      </w:r>
      <w:bookmarkEnd w:id="0"/>
    </w:p>
    <w:p w14:paraId="26452233">
      <w:pPr>
        <w:snapToGrid w:val="0"/>
        <w:rPr>
          <w:color w:val="000000"/>
          <w:sz w:val="10"/>
          <w:highlight w:val="none"/>
        </w:rPr>
      </w:pPr>
    </w:p>
    <w:p w14:paraId="453DBF31">
      <w:pPr>
        <w:pStyle w:val="21"/>
        <w:rPr>
          <w:rFonts w:hint="eastAsia" w:ascii="等线" w:hAnsi="等线" w:eastAsia="等线"/>
          <w:sz w:val="21"/>
          <w:szCs w:val="22"/>
          <w:highlight w:val="none"/>
        </w:rPr>
      </w:pPr>
      <w:r>
        <w:rPr>
          <w:color w:val="000000"/>
          <w:highlight w:val="none"/>
        </w:rPr>
        <w:fldChar w:fldCharType="begin"/>
      </w:r>
      <w:r>
        <w:rPr>
          <w:color w:val="000000"/>
          <w:highlight w:val="none"/>
        </w:rPr>
        <w:instrText xml:space="preserve"> TOC \o "1-3" \h \z </w:instrText>
      </w:r>
      <w:r>
        <w:rPr>
          <w:color w:val="000000"/>
          <w:highlight w:val="none"/>
        </w:rPr>
        <w:fldChar w:fldCharType="separate"/>
      </w:r>
      <w:r>
        <w:rPr>
          <w:highlight w:val="none"/>
        </w:rPr>
        <w:fldChar w:fldCharType="begin"/>
      </w:r>
      <w:r>
        <w:rPr>
          <w:highlight w:val="none"/>
        </w:rPr>
        <w:instrText xml:space="preserve"> HYPERLINK \l "_Toc185152196" </w:instrText>
      </w:r>
      <w:r>
        <w:rPr>
          <w:highlight w:val="none"/>
        </w:rPr>
        <w:fldChar w:fldCharType="separate"/>
      </w:r>
      <w:r>
        <w:rPr>
          <w:rStyle w:val="35"/>
          <w:highlight w:val="none"/>
        </w:rPr>
        <w:t>1.</w:t>
      </w:r>
      <w:r>
        <w:rPr>
          <w:rFonts w:ascii="等线" w:hAnsi="等线" w:eastAsia="等线"/>
          <w:sz w:val="21"/>
          <w:szCs w:val="22"/>
          <w:highlight w:val="none"/>
        </w:rPr>
        <w:tab/>
      </w:r>
      <w:r>
        <w:rPr>
          <w:rStyle w:val="35"/>
          <w:highlight w:val="none"/>
        </w:rPr>
        <w:t>项目综述</w:t>
      </w:r>
      <w:r>
        <w:rPr>
          <w:highlight w:val="none"/>
        </w:rPr>
        <w:tab/>
      </w:r>
      <w:r>
        <w:rPr>
          <w:highlight w:val="none"/>
        </w:rPr>
        <w:fldChar w:fldCharType="begin"/>
      </w:r>
      <w:r>
        <w:rPr>
          <w:highlight w:val="none"/>
        </w:rPr>
        <w:instrText xml:space="preserve"> PAGEREF _Toc185152196 \h </w:instrText>
      </w:r>
      <w:r>
        <w:rPr>
          <w:highlight w:val="none"/>
        </w:rPr>
        <w:fldChar w:fldCharType="separate"/>
      </w:r>
      <w:r>
        <w:rPr>
          <w:highlight w:val="none"/>
        </w:rPr>
        <w:t>1</w:t>
      </w:r>
      <w:r>
        <w:rPr>
          <w:highlight w:val="none"/>
        </w:rPr>
        <w:fldChar w:fldCharType="end"/>
      </w:r>
      <w:r>
        <w:rPr>
          <w:highlight w:val="none"/>
        </w:rPr>
        <w:fldChar w:fldCharType="end"/>
      </w:r>
    </w:p>
    <w:p w14:paraId="6CDC8B45">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"_Toc185152197" </w:instrText>
      </w:r>
      <w:r>
        <w:rPr>
          <w:highlight w:val="none"/>
        </w:rPr>
        <w:fldChar w:fldCharType="separate"/>
      </w:r>
      <w:r>
        <w:rPr>
          <w:rStyle w:val="35"/>
          <w:highlight w:val="none"/>
        </w:rPr>
        <w:t>1.1</w:t>
      </w:r>
      <w:r>
        <w:rPr>
          <w:rFonts w:ascii="等线" w:hAnsi="等线" w:eastAsia="等线"/>
          <w:sz w:val="21"/>
          <w:szCs w:val="22"/>
          <w:highlight w:val="none"/>
        </w:rPr>
        <w:tab/>
      </w:r>
      <w:r>
        <w:rPr>
          <w:rStyle w:val="35"/>
          <w:highlight w:val="none"/>
        </w:rPr>
        <w:t>概况</w:t>
      </w:r>
      <w:r>
        <w:rPr>
          <w:highlight w:val="none"/>
        </w:rPr>
        <w:tab/>
      </w:r>
      <w:r>
        <w:rPr>
          <w:highlight w:val="none"/>
        </w:rPr>
        <w:fldChar w:fldCharType="begin"/>
      </w:r>
      <w:r>
        <w:rPr>
          <w:highlight w:val="none"/>
        </w:rPr>
        <w:instrText xml:space="preserve"> PAGEREF _Toc185152197 \h </w:instrText>
      </w:r>
      <w:r>
        <w:rPr>
          <w:highlight w:val="none"/>
        </w:rPr>
        <w:fldChar w:fldCharType="separate"/>
      </w:r>
      <w:r>
        <w:rPr>
          <w:highlight w:val="none"/>
        </w:rPr>
        <w:t>1</w:t>
      </w:r>
      <w:r>
        <w:rPr>
          <w:highlight w:val="none"/>
        </w:rPr>
        <w:fldChar w:fldCharType="end"/>
      </w:r>
      <w:r>
        <w:rPr>
          <w:highlight w:val="none"/>
        </w:rPr>
        <w:fldChar w:fldCharType="end"/>
      </w:r>
    </w:p>
    <w:p w14:paraId="63D7D96A">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"_Toc185152198" </w:instrText>
      </w:r>
      <w:r>
        <w:rPr>
          <w:highlight w:val="none"/>
        </w:rPr>
        <w:fldChar w:fldCharType="separate"/>
      </w:r>
      <w:r>
        <w:rPr>
          <w:rStyle w:val="35"/>
          <w:highlight w:val="none"/>
        </w:rPr>
        <w:t>1.2</w:t>
      </w:r>
      <w:r>
        <w:rPr>
          <w:rFonts w:ascii="等线" w:hAnsi="等线" w:eastAsia="等线"/>
          <w:sz w:val="21"/>
          <w:szCs w:val="22"/>
          <w:highlight w:val="none"/>
        </w:rPr>
        <w:tab/>
      </w:r>
      <w:r>
        <w:rPr>
          <w:rStyle w:val="35"/>
          <w:highlight w:val="none"/>
        </w:rPr>
        <w:t>主要成果</w:t>
      </w:r>
      <w:r>
        <w:rPr>
          <w:highlight w:val="none"/>
        </w:rPr>
        <w:tab/>
      </w:r>
      <w:r>
        <w:rPr>
          <w:highlight w:val="none"/>
        </w:rPr>
        <w:fldChar w:fldCharType="begin"/>
      </w:r>
      <w:r>
        <w:rPr>
          <w:highlight w:val="none"/>
        </w:rPr>
        <w:instrText xml:space="preserve"> PAGEREF _Toc185152198 \h </w:instrText>
      </w:r>
      <w:r>
        <w:rPr>
          <w:highlight w:val="none"/>
        </w:rPr>
        <w:fldChar w:fldCharType="separate"/>
      </w:r>
      <w:r>
        <w:rPr>
          <w:highlight w:val="none"/>
        </w:rPr>
        <w:t>1</w:t>
      </w:r>
      <w:r>
        <w:rPr>
          <w:highlight w:val="none"/>
        </w:rPr>
        <w:fldChar w:fldCharType="end"/>
      </w:r>
      <w:r>
        <w:rPr>
          <w:highlight w:val="none"/>
        </w:rPr>
        <w:fldChar w:fldCharType="end"/>
      </w:r>
    </w:p>
    <w:p w14:paraId="6ABCA161">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"_Toc185152199" </w:instrText>
      </w:r>
      <w:r>
        <w:rPr>
          <w:highlight w:val="none"/>
        </w:rPr>
        <w:fldChar w:fldCharType="separate"/>
      </w:r>
      <w:r>
        <w:rPr>
          <w:rStyle w:val="35"/>
          <w:highlight w:val="none"/>
        </w:rPr>
        <w:t>2.</w:t>
      </w:r>
      <w:r>
        <w:rPr>
          <w:rFonts w:ascii="等线" w:hAnsi="等线" w:eastAsia="等线"/>
          <w:sz w:val="21"/>
          <w:szCs w:val="22"/>
          <w:highlight w:val="none"/>
        </w:rPr>
        <w:tab/>
      </w:r>
      <w:r>
        <w:rPr>
          <w:rStyle w:val="35"/>
          <w:highlight w:val="none"/>
        </w:rPr>
        <w:t>RBI技术概述</w:t>
      </w:r>
      <w:r>
        <w:rPr>
          <w:highlight w:val="none"/>
        </w:rPr>
        <w:tab/>
      </w:r>
      <w:r>
        <w:rPr>
          <w:highlight w:val="none"/>
        </w:rPr>
        <w:fldChar w:fldCharType="begin"/>
      </w:r>
      <w:r>
        <w:rPr>
          <w:highlight w:val="none"/>
        </w:rPr>
        <w:instrText xml:space="preserve"> PAGEREF _Toc185152199 \h </w:instrText>
      </w:r>
      <w:r>
        <w:rPr>
          <w:highlight w:val="none"/>
        </w:rPr>
        <w:fldChar w:fldCharType="separate"/>
      </w:r>
      <w:r>
        <w:rPr>
          <w:highlight w:val="none"/>
        </w:rPr>
        <w:t>2</w:t>
      </w:r>
      <w:r>
        <w:rPr>
          <w:highlight w:val="none"/>
        </w:rPr>
        <w:fldChar w:fldCharType="end"/>
      </w:r>
      <w:r>
        <w:rPr>
          <w:highlight w:val="none"/>
        </w:rPr>
        <w:fldChar w:fldCharType="end"/>
      </w:r>
    </w:p>
    <w:p w14:paraId="6187F954">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"_Toc185152200" </w:instrText>
      </w:r>
      <w:r>
        <w:rPr>
          <w:highlight w:val="none"/>
        </w:rPr>
        <w:fldChar w:fldCharType="separate"/>
      </w:r>
      <w:r>
        <w:rPr>
          <w:rStyle w:val="35"/>
          <w:highlight w:val="none"/>
        </w:rPr>
        <w:t>3.</w:t>
      </w:r>
      <w:r>
        <w:rPr>
          <w:rFonts w:ascii="等线" w:hAnsi="等线" w:eastAsia="等线"/>
          <w:sz w:val="21"/>
          <w:szCs w:val="22"/>
          <w:highlight w:val="none"/>
        </w:rPr>
        <w:tab/>
      </w:r>
      <w:r>
        <w:rPr>
          <w:rStyle w:val="35"/>
          <w:highlight w:val="none"/>
        </w:rPr>
        <w:t>项目实施执行或参照的标准、法规和资料</w:t>
      </w:r>
      <w:r>
        <w:rPr>
          <w:highlight w:val="none"/>
        </w:rPr>
        <w:tab/>
      </w:r>
      <w:r>
        <w:rPr>
          <w:highlight w:val="none"/>
        </w:rPr>
        <w:fldChar w:fldCharType="begin"/>
      </w:r>
      <w:r>
        <w:rPr>
          <w:highlight w:val="none"/>
        </w:rPr>
        <w:instrText xml:space="preserve"> PAGEREF _Toc185152200 \h </w:instrText>
      </w:r>
      <w:r>
        <w:rPr>
          <w:highlight w:val="none"/>
        </w:rPr>
        <w:fldChar w:fldCharType="separate"/>
      </w:r>
      <w:r>
        <w:rPr>
          <w:highlight w:val="none"/>
        </w:rPr>
        <w:t>2</w:t>
      </w:r>
      <w:r>
        <w:rPr>
          <w:highlight w:val="none"/>
        </w:rPr>
        <w:fldChar w:fldCharType="end"/>
      </w:r>
      <w:r>
        <w:rPr>
          <w:highlight w:val="none"/>
        </w:rPr>
        <w:fldChar w:fldCharType="end"/>
      </w:r>
    </w:p>
    <w:p w14:paraId="3874E55B">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"_Toc185152201" </w:instrText>
      </w:r>
      <w:r>
        <w:rPr>
          <w:highlight w:val="none"/>
        </w:rPr>
        <w:fldChar w:fldCharType="separate"/>
      </w:r>
      <w:r>
        <w:rPr>
          <w:rStyle w:val="35"/>
          <w:highlight w:val="none"/>
        </w:rPr>
        <w:t>4.</w:t>
      </w:r>
      <w:r>
        <w:rPr>
          <w:rFonts w:ascii="等线" w:hAnsi="等线" w:eastAsia="等线"/>
          <w:sz w:val="21"/>
          <w:szCs w:val="22"/>
          <w:highlight w:val="none"/>
        </w:rPr>
        <w:tab/>
      </w:r>
      <w:r>
        <w:rPr>
          <w:rStyle w:val="35"/>
          <w:highlight w:val="none"/>
        </w:rPr>
        <w:t>安全阀的RBI评估</w:t>
      </w:r>
      <w:r>
        <w:rPr>
          <w:highlight w:val="none"/>
        </w:rPr>
        <w:tab/>
      </w:r>
      <w:r>
        <w:rPr>
          <w:highlight w:val="none"/>
        </w:rPr>
        <w:fldChar w:fldCharType="begin"/>
      </w:r>
      <w:r>
        <w:rPr>
          <w:highlight w:val="none"/>
        </w:rPr>
        <w:instrText xml:space="preserve"> PAGEREF _Toc185152201 \h </w:instrText>
      </w:r>
      <w:r>
        <w:rPr>
          <w:highlight w:val="none"/>
        </w:rPr>
        <w:fldChar w:fldCharType="separate"/>
      </w:r>
      <w:r>
        <w:rPr>
          <w:highlight w:val="none"/>
        </w:rPr>
        <w:t>3</w:t>
      </w:r>
      <w:r>
        <w:rPr>
          <w:highlight w:val="none"/>
        </w:rPr>
        <w:fldChar w:fldCharType="end"/>
      </w:r>
      <w:r>
        <w:rPr>
          <w:highlight w:val="none"/>
        </w:rPr>
        <w:fldChar w:fldCharType="end"/>
      </w:r>
    </w:p>
    <w:p w14:paraId="778FA5BA">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"_Toc185152202" </w:instrText>
      </w:r>
      <w:r>
        <w:rPr>
          <w:highlight w:val="none"/>
        </w:rPr>
        <w:fldChar w:fldCharType="separate"/>
      </w:r>
      <w:r>
        <w:rPr>
          <w:rStyle w:val="35"/>
          <w:highlight w:val="none"/>
        </w:rPr>
        <w:t>4.1 安全阀失效模式分析</w:t>
      </w:r>
      <w:r>
        <w:rPr>
          <w:highlight w:val="none"/>
        </w:rPr>
        <w:tab/>
      </w:r>
      <w:r>
        <w:rPr>
          <w:highlight w:val="none"/>
        </w:rPr>
        <w:fldChar w:fldCharType="begin"/>
      </w:r>
      <w:r>
        <w:rPr>
          <w:highlight w:val="none"/>
        </w:rPr>
        <w:instrText xml:space="preserve"> PAGEREF _Toc185152202 \h </w:instrText>
      </w:r>
      <w:r>
        <w:rPr>
          <w:highlight w:val="none"/>
        </w:rPr>
        <w:fldChar w:fldCharType="separate"/>
      </w:r>
      <w:r>
        <w:rPr>
          <w:highlight w:val="none"/>
        </w:rPr>
        <w:t>3</w:t>
      </w:r>
      <w:r>
        <w:rPr>
          <w:highlight w:val="none"/>
        </w:rPr>
        <w:fldChar w:fldCharType="end"/>
      </w:r>
      <w:r>
        <w:rPr>
          <w:highlight w:val="none"/>
        </w:rPr>
        <w:fldChar w:fldCharType="end"/>
      </w:r>
    </w:p>
    <w:p w14:paraId="5CD5D052">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"_Toc185152203" </w:instrText>
      </w:r>
      <w:r>
        <w:rPr>
          <w:highlight w:val="none"/>
        </w:rPr>
        <w:fldChar w:fldCharType="separate"/>
      </w:r>
      <w:r>
        <w:rPr>
          <w:rStyle w:val="35"/>
          <w:highlight w:val="none"/>
        </w:rPr>
        <w:t>4.2</w:t>
      </w:r>
      <w:r>
        <w:rPr>
          <w:rStyle w:val="35"/>
          <w:b/>
          <w:highlight w:val="none"/>
        </w:rPr>
        <w:t xml:space="preserve"> </w:t>
      </w:r>
      <w:r>
        <w:rPr>
          <w:rStyle w:val="35"/>
          <w:highlight w:val="none"/>
        </w:rPr>
        <w:t>安全阀失效可能性确定</w:t>
      </w:r>
      <w:r>
        <w:rPr>
          <w:highlight w:val="none"/>
        </w:rPr>
        <w:tab/>
      </w:r>
      <w:r>
        <w:rPr>
          <w:highlight w:val="none"/>
        </w:rPr>
        <w:fldChar w:fldCharType="begin"/>
      </w:r>
      <w:r>
        <w:rPr>
          <w:highlight w:val="none"/>
        </w:rPr>
        <w:instrText xml:space="preserve"> PAGEREF _Toc185152203 \h </w:instrText>
      </w:r>
      <w:r>
        <w:rPr>
          <w:highlight w:val="none"/>
        </w:rPr>
        <w:fldChar w:fldCharType="separate"/>
      </w:r>
      <w:r>
        <w:rPr>
          <w:highlight w:val="none"/>
        </w:rPr>
        <w:t>4</w:t>
      </w:r>
      <w:r>
        <w:rPr>
          <w:highlight w:val="none"/>
        </w:rPr>
        <w:fldChar w:fldCharType="end"/>
      </w:r>
      <w:r>
        <w:rPr>
          <w:highlight w:val="none"/>
        </w:rPr>
        <w:fldChar w:fldCharType="end"/>
      </w:r>
    </w:p>
    <w:p w14:paraId="11A5CE75">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"_Toc185152204" </w:instrText>
      </w:r>
      <w:r>
        <w:rPr>
          <w:highlight w:val="none"/>
        </w:rPr>
        <w:fldChar w:fldCharType="separate"/>
      </w:r>
      <w:r>
        <w:rPr>
          <w:rStyle w:val="35"/>
          <w:highlight w:val="none"/>
        </w:rPr>
        <w:t>4.3</w:t>
      </w:r>
      <w:r>
        <w:rPr>
          <w:rStyle w:val="35"/>
          <w:b/>
          <w:highlight w:val="none"/>
        </w:rPr>
        <w:t xml:space="preserve"> </w:t>
      </w:r>
      <w:r>
        <w:rPr>
          <w:rStyle w:val="35"/>
          <w:highlight w:val="none"/>
        </w:rPr>
        <w:t>安全阀失效后果确定</w:t>
      </w:r>
      <w:r>
        <w:rPr>
          <w:highlight w:val="none"/>
        </w:rPr>
        <w:tab/>
      </w:r>
      <w:r>
        <w:rPr>
          <w:highlight w:val="none"/>
        </w:rPr>
        <w:fldChar w:fldCharType="begin"/>
      </w:r>
      <w:r>
        <w:rPr>
          <w:highlight w:val="none"/>
        </w:rPr>
        <w:instrText xml:space="preserve"> PAGEREF _Toc185152204 \h </w:instrText>
      </w:r>
      <w:r>
        <w:rPr>
          <w:highlight w:val="none"/>
        </w:rPr>
        <w:fldChar w:fldCharType="separate"/>
      </w:r>
      <w:r>
        <w:rPr>
          <w:highlight w:val="none"/>
        </w:rPr>
        <w:t>4</w:t>
      </w:r>
      <w:r>
        <w:rPr>
          <w:highlight w:val="none"/>
        </w:rPr>
        <w:fldChar w:fldCharType="end"/>
      </w:r>
      <w:r>
        <w:rPr>
          <w:highlight w:val="none"/>
        </w:rPr>
        <w:fldChar w:fldCharType="end"/>
      </w:r>
    </w:p>
    <w:p w14:paraId="20EE0ADD">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"_Toc185152205" </w:instrText>
      </w:r>
      <w:r>
        <w:rPr>
          <w:highlight w:val="none"/>
        </w:rPr>
        <w:fldChar w:fldCharType="separate"/>
      </w:r>
      <w:r>
        <w:rPr>
          <w:rStyle w:val="35"/>
          <w:highlight w:val="none"/>
        </w:rPr>
        <w:t>4.4 安全阀校验周期确定原则</w:t>
      </w:r>
      <w:r>
        <w:rPr>
          <w:highlight w:val="none"/>
        </w:rPr>
        <w:tab/>
      </w:r>
      <w:r>
        <w:rPr>
          <w:highlight w:val="none"/>
        </w:rPr>
        <w:fldChar w:fldCharType="begin"/>
      </w:r>
      <w:r>
        <w:rPr>
          <w:highlight w:val="none"/>
        </w:rPr>
        <w:instrText xml:space="preserve"> PAGEREF _Toc185152205 \h </w:instrText>
      </w:r>
      <w:r>
        <w:rPr>
          <w:highlight w:val="none"/>
        </w:rPr>
        <w:fldChar w:fldCharType="separate"/>
      </w:r>
      <w:r>
        <w:rPr>
          <w:highlight w:val="none"/>
        </w:rPr>
        <w:t>4</w:t>
      </w:r>
      <w:r>
        <w:rPr>
          <w:highlight w:val="none"/>
        </w:rPr>
        <w:fldChar w:fldCharType="end"/>
      </w:r>
      <w:r>
        <w:rPr>
          <w:highlight w:val="none"/>
        </w:rPr>
        <w:fldChar w:fldCharType="end"/>
      </w:r>
    </w:p>
    <w:p w14:paraId="67238824">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"_Toc185152206" </w:instrText>
      </w:r>
      <w:r>
        <w:rPr>
          <w:highlight w:val="none"/>
        </w:rPr>
        <w:fldChar w:fldCharType="separate"/>
      </w:r>
      <w:r>
        <w:rPr>
          <w:rStyle w:val="35"/>
          <w:highlight w:val="none"/>
        </w:rPr>
        <w:t xml:space="preserve">5. </w:t>
      </w:r>
      <w:r>
        <w:rPr>
          <w:rStyle w:val="35"/>
          <w:rFonts w:hint="eastAsia"/>
          <w:highlight w:val="none"/>
        </w:rPr>
        <w:t>装置</w:t>
      </w:r>
      <w:r>
        <w:rPr>
          <w:rStyle w:val="35"/>
          <w:highlight w:val="none"/>
        </w:rPr>
        <w:t>概况</w:t>
      </w:r>
      <w:r>
        <w:rPr>
          <w:highlight w:val="none"/>
        </w:rPr>
        <w:tab/>
      </w:r>
      <w:r>
        <w:rPr>
          <w:highlight w:val="none"/>
        </w:rPr>
        <w:fldChar w:fldCharType="begin"/>
      </w:r>
      <w:r>
        <w:rPr>
          <w:highlight w:val="none"/>
        </w:rPr>
        <w:instrText xml:space="preserve"> PAGEREF _Toc185152206 \h </w:instrText>
      </w:r>
      <w:r>
        <w:rPr>
          <w:highlight w:val="none"/>
        </w:rPr>
        <w:fldChar w:fldCharType="separate"/>
      </w:r>
      <w:r>
        <w:rPr>
          <w:highlight w:val="none"/>
        </w:rPr>
        <w:t>5</w:t>
      </w:r>
      <w:r>
        <w:rPr>
          <w:highlight w:val="none"/>
        </w:rPr>
        <w:fldChar w:fldCharType="end"/>
      </w:r>
      <w:r>
        <w:rPr>
          <w:highlight w:val="none"/>
        </w:rPr>
        <w:fldChar w:fldCharType="end"/>
      </w:r>
    </w:p>
    <w:p w14:paraId="592AAE55">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"_Toc185152207" </w:instrText>
      </w:r>
      <w:r>
        <w:rPr>
          <w:highlight w:val="none"/>
        </w:rPr>
        <w:fldChar w:fldCharType="separate"/>
      </w:r>
      <w:r>
        <w:rPr>
          <w:rStyle w:val="35"/>
          <w:highlight w:val="none"/>
        </w:rPr>
        <w:t>5.1 装置安全阀统计</w:t>
      </w:r>
      <w:r>
        <w:rPr>
          <w:highlight w:val="none"/>
        </w:rPr>
        <w:tab/>
      </w:r>
      <w:r>
        <w:rPr>
          <w:highlight w:val="none"/>
        </w:rPr>
        <w:fldChar w:fldCharType="begin"/>
      </w:r>
      <w:r>
        <w:rPr>
          <w:highlight w:val="none"/>
        </w:rPr>
        <w:instrText xml:space="preserve"> PAGEREF _Toc185152207 \h </w:instrText>
      </w:r>
      <w:r>
        <w:rPr>
          <w:highlight w:val="none"/>
        </w:rPr>
        <w:fldChar w:fldCharType="separate"/>
      </w:r>
      <w:r>
        <w:rPr>
          <w:highlight w:val="none"/>
        </w:rPr>
        <w:t>6</w:t>
      </w:r>
      <w:r>
        <w:rPr>
          <w:highlight w:val="none"/>
        </w:rPr>
        <w:fldChar w:fldCharType="end"/>
      </w:r>
      <w:r>
        <w:rPr>
          <w:highlight w:val="none"/>
        </w:rPr>
        <w:fldChar w:fldCharType="end"/>
      </w:r>
    </w:p>
    <w:p w14:paraId="556EEA3D">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"_Toc185152208" </w:instrText>
      </w:r>
      <w:r>
        <w:rPr>
          <w:highlight w:val="none"/>
        </w:rPr>
        <w:fldChar w:fldCharType="separate"/>
      </w:r>
      <w:r>
        <w:rPr>
          <w:rStyle w:val="35"/>
          <w:highlight w:val="none"/>
        </w:rPr>
        <w:t>5.2 安全阀运行状况、校验历史与检验周期</w:t>
      </w:r>
      <w:r>
        <w:rPr>
          <w:highlight w:val="none"/>
        </w:rPr>
        <w:tab/>
      </w:r>
      <w:r>
        <w:rPr>
          <w:highlight w:val="none"/>
        </w:rPr>
        <w:fldChar w:fldCharType="begin"/>
      </w:r>
      <w:r>
        <w:rPr>
          <w:highlight w:val="none"/>
        </w:rPr>
        <w:instrText xml:space="preserve"> PAGEREF _Toc185152208 \h </w:instrText>
      </w:r>
      <w:r>
        <w:rPr>
          <w:highlight w:val="none"/>
        </w:rPr>
        <w:fldChar w:fldCharType="separate"/>
      </w:r>
      <w:r>
        <w:rPr>
          <w:highlight w:val="none"/>
        </w:rPr>
        <w:t>6</w:t>
      </w:r>
      <w:r>
        <w:rPr>
          <w:highlight w:val="none"/>
        </w:rPr>
        <w:fldChar w:fldCharType="end"/>
      </w:r>
      <w:r>
        <w:rPr>
          <w:highlight w:val="none"/>
        </w:rPr>
        <w:fldChar w:fldCharType="end"/>
      </w:r>
    </w:p>
    <w:p w14:paraId="1B1D0D90">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"_Toc185152209" </w:instrText>
      </w:r>
      <w:r>
        <w:rPr>
          <w:highlight w:val="none"/>
        </w:rPr>
        <w:fldChar w:fldCharType="separate"/>
      </w:r>
      <w:r>
        <w:rPr>
          <w:rStyle w:val="35"/>
          <w:highlight w:val="none"/>
        </w:rPr>
        <w:t>6. 风险分析结果</w:t>
      </w:r>
      <w:r>
        <w:rPr>
          <w:highlight w:val="none"/>
        </w:rPr>
        <w:tab/>
      </w:r>
      <w:r>
        <w:rPr>
          <w:highlight w:val="none"/>
        </w:rPr>
        <w:fldChar w:fldCharType="begin"/>
      </w:r>
      <w:r>
        <w:rPr>
          <w:highlight w:val="none"/>
        </w:rPr>
        <w:instrText xml:space="preserve"> PAGEREF _Toc185152209 \h </w:instrText>
      </w:r>
      <w:r>
        <w:rPr>
          <w:highlight w:val="none"/>
        </w:rPr>
        <w:fldChar w:fldCharType="separate"/>
      </w:r>
      <w:r>
        <w:rPr>
          <w:highlight w:val="none"/>
        </w:rPr>
        <w:t>6</w:t>
      </w:r>
      <w:r>
        <w:rPr>
          <w:highlight w:val="none"/>
        </w:rPr>
        <w:fldChar w:fldCharType="end"/>
      </w:r>
      <w:r>
        <w:rPr>
          <w:highlight w:val="none"/>
        </w:rPr>
        <w:fldChar w:fldCharType="end"/>
      </w:r>
    </w:p>
    <w:p w14:paraId="449E1A44">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"_Toc185152210" </w:instrText>
      </w:r>
      <w:r>
        <w:rPr>
          <w:highlight w:val="none"/>
        </w:rPr>
        <w:fldChar w:fldCharType="separate"/>
      </w:r>
      <w:r>
        <w:rPr>
          <w:rStyle w:val="35"/>
          <w:highlight w:val="none"/>
        </w:rPr>
        <w:t>6.1 风险分布</w:t>
      </w:r>
      <w:r>
        <w:rPr>
          <w:highlight w:val="none"/>
        </w:rPr>
        <w:tab/>
      </w:r>
      <w:r>
        <w:rPr>
          <w:highlight w:val="none"/>
        </w:rPr>
        <w:fldChar w:fldCharType="begin"/>
      </w:r>
      <w:r>
        <w:rPr>
          <w:highlight w:val="none"/>
        </w:rPr>
        <w:instrText xml:space="preserve"> PAGEREF _Toc185152210 \h </w:instrText>
      </w:r>
      <w:r>
        <w:rPr>
          <w:highlight w:val="none"/>
        </w:rPr>
        <w:fldChar w:fldCharType="separate"/>
      </w:r>
      <w:r>
        <w:rPr>
          <w:highlight w:val="none"/>
        </w:rPr>
        <w:t>6</w:t>
      </w:r>
      <w:r>
        <w:rPr>
          <w:highlight w:val="none"/>
        </w:rPr>
        <w:fldChar w:fldCharType="end"/>
      </w:r>
      <w:r>
        <w:rPr>
          <w:highlight w:val="none"/>
        </w:rPr>
        <w:fldChar w:fldCharType="end"/>
      </w:r>
    </w:p>
    <w:p w14:paraId="00626B17">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"_Toc185152211" </w:instrText>
      </w:r>
      <w:r>
        <w:rPr>
          <w:highlight w:val="none"/>
        </w:rPr>
        <w:fldChar w:fldCharType="separate"/>
      </w:r>
      <w:r>
        <w:rPr>
          <w:rStyle w:val="35"/>
          <w:highlight w:val="none"/>
        </w:rPr>
        <w:t>6.2 风险统计</w:t>
      </w:r>
      <w:r>
        <w:rPr>
          <w:highlight w:val="none"/>
        </w:rPr>
        <w:tab/>
      </w:r>
      <w:r>
        <w:rPr>
          <w:highlight w:val="none"/>
        </w:rPr>
        <w:fldChar w:fldCharType="begin"/>
      </w:r>
      <w:r>
        <w:rPr>
          <w:highlight w:val="none"/>
        </w:rPr>
        <w:instrText xml:space="preserve"> PAGEREF _Toc185152211 \h </w:instrText>
      </w:r>
      <w:r>
        <w:rPr>
          <w:highlight w:val="none"/>
        </w:rPr>
        <w:fldChar w:fldCharType="separate"/>
      </w:r>
      <w:r>
        <w:rPr>
          <w:highlight w:val="none"/>
        </w:rPr>
        <w:t>9</w:t>
      </w:r>
      <w:r>
        <w:rPr>
          <w:highlight w:val="none"/>
        </w:rPr>
        <w:fldChar w:fldCharType="end"/>
      </w:r>
      <w:r>
        <w:rPr>
          <w:highlight w:val="none"/>
        </w:rPr>
        <w:fldChar w:fldCharType="end"/>
      </w:r>
    </w:p>
    <w:p w14:paraId="5AB2F04D">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"_Toc185152212" </w:instrText>
      </w:r>
      <w:r>
        <w:rPr>
          <w:highlight w:val="none"/>
        </w:rPr>
        <w:fldChar w:fldCharType="separate"/>
      </w:r>
      <w:r>
        <w:rPr>
          <w:rStyle w:val="35"/>
          <w:highlight w:val="none"/>
        </w:rPr>
        <w:t>7. 安全阀管理维护</w:t>
      </w:r>
      <w:r>
        <w:rPr>
          <w:highlight w:val="none"/>
        </w:rPr>
        <w:tab/>
      </w:r>
      <w:r>
        <w:rPr>
          <w:highlight w:val="none"/>
        </w:rPr>
        <w:fldChar w:fldCharType="begin"/>
      </w:r>
      <w:r>
        <w:rPr>
          <w:highlight w:val="none"/>
        </w:rPr>
        <w:instrText xml:space="preserve"> PAGEREF _Toc185152212 \h </w:instrText>
      </w:r>
      <w:r>
        <w:rPr>
          <w:highlight w:val="none"/>
        </w:rPr>
        <w:fldChar w:fldCharType="separate"/>
      </w:r>
      <w:r>
        <w:rPr>
          <w:highlight w:val="none"/>
        </w:rPr>
        <w:t>10</w:t>
      </w:r>
      <w:r>
        <w:rPr>
          <w:highlight w:val="none"/>
        </w:rPr>
        <w:fldChar w:fldCharType="end"/>
      </w:r>
      <w:r>
        <w:rPr>
          <w:highlight w:val="none"/>
        </w:rPr>
        <w:fldChar w:fldCharType="end"/>
      </w:r>
    </w:p>
    <w:p w14:paraId="1DB9947D">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"_Toc185152215" </w:instrText>
      </w:r>
      <w:r>
        <w:rPr>
          <w:highlight w:val="none"/>
        </w:rPr>
        <w:fldChar w:fldCharType="separate"/>
      </w:r>
      <w:r>
        <w:rPr>
          <w:rStyle w:val="35"/>
          <w:highlight w:val="none"/>
        </w:rPr>
        <w:t>8. 结束语</w:t>
      </w:r>
      <w:r>
        <w:rPr>
          <w:highlight w:val="none"/>
        </w:rPr>
        <w:tab/>
      </w:r>
      <w:r>
        <w:rPr>
          <w:highlight w:val="none"/>
        </w:rPr>
        <w:fldChar w:fldCharType="begin"/>
      </w:r>
      <w:r>
        <w:rPr>
          <w:highlight w:val="none"/>
        </w:rPr>
        <w:instrText xml:space="preserve"> PAGEREF _Toc185152215 \h </w:instrText>
      </w:r>
      <w:r>
        <w:rPr>
          <w:highlight w:val="none"/>
        </w:rPr>
        <w:fldChar w:fldCharType="separate"/>
      </w:r>
      <w:r>
        <w:rPr>
          <w:highlight w:val="none"/>
        </w:rPr>
        <w:t>11</w:t>
      </w:r>
      <w:r>
        <w:rPr>
          <w:highlight w:val="none"/>
        </w:rPr>
        <w:fldChar w:fldCharType="end"/>
      </w:r>
      <w:r>
        <w:rPr>
          <w:highlight w:val="none"/>
        </w:rPr>
        <w:fldChar w:fldCharType="end"/>
      </w:r>
    </w:p>
    <w:p w14:paraId="73825174">
      <w:pPr>
        <w:pStyle w:val="21"/>
        <w:rPr>
          <w:rFonts w:hint="eastAsia" w:ascii="等线" w:hAnsi="等线" w:eastAsia="等线"/>
          <w:sz w:val="21"/>
          <w:szCs w:val="22"/>
          <w:highlight w:val="none"/>
        </w:rPr>
      </w:pPr>
      <w:r>
        <w:rPr>
          <w:highlight w:val="none"/>
        </w:rPr>
        <w:fldChar w:fldCharType="begin"/>
      </w:r>
      <w:r>
        <w:rPr>
          <w:highlight w:val="none"/>
        </w:rPr>
        <w:instrText xml:space="preserve"> HYPERLINK \l "_Toc185152216" </w:instrText>
      </w:r>
      <w:r>
        <w:rPr>
          <w:highlight w:val="none"/>
        </w:rPr>
        <w:fldChar w:fldCharType="separate"/>
      </w:r>
      <w:r>
        <w:rPr>
          <w:rStyle w:val="35"/>
          <w:highlight w:val="none"/>
        </w:rPr>
        <w:t>附录</w:t>
      </w:r>
      <w:r>
        <w:rPr>
          <w:highlight w:val="none"/>
        </w:rPr>
        <w:tab/>
      </w:r>
      <w:r>
        <w:rPr>
          <w:highlight w:val="none"/>
        </w:rPr>
        <w:fldChar w:fldCharType="begin"/>
      </w:r>
      <w:r>
        <w:rPr>
          <w:highlight w:val="none"/>
        </w:rPr>
        <w:instrText xml:space="preserve"> PAGEREF _Toc185152216 \h </w:instrText>
      </w:r>
      <w:r>
        <w:rPr>
          <w:highlight w:val="none"/>
        </w:rPr>
        <w:fldChar w:fldCharType="separate"/>
      </w:r>
      <w:r>
        <w:rPr>
          <w:highlight w:val="none"/>
        </w:rPr>
        <w:t>11</w:t>
      </w:r>
      <w:r>
        <w:rPr>
          <w:highlight w:val="none"/>
        </w:rPr>
        <w:fldChar w:fldCharType="end"/>
      </w:r>
      <w:r>
        <w:rPr>
          <w:highlight w:val="none"/>
        </w:rPr>
        <w:fldChar w:fldCharType="end"/>
      </w:r>
    </w:p>
    <w:p w14:paraId="697BCB5F">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"_Toc185152217" </w:instrText>
      </w:r>
      <w:r>
        <w:rPr>
          <w:highlight w:val="none"/>
        </w:rPr>
        <w:fldChar w:fldCharType="separate"/>
      </w:r>
      <w:r>
        <w:rPr>
          <w:rStyle w:val="35"/>
          <w:highlight w:val="none"/>
        </w:rPr>
        <w:t>附录1. 安全阀基础数据表</w:t>
      </w:r>
      <w:r>
        <w:rPr>
          <w:highlight w:val="none"/>
        </w:rPr>
        <w:tab/>
      </w:r>
      <w:r>
        <w:rPr>
          <w:highlight w:val="none"/>
        </w:rPr>
        <w:fldChar w:fldCharType="begin"/>
      </w:r>
      <w:r>
        <w:rPr>
          <w:highlight w:val="none"/>
        </w:rPr>
        <w:instrText xml:space="preserve"> PAGEREF _Toc185152217 \h </w:instrText>
      </w:r>
      <w:r>
        <w:rPr>
          <w:highlight w:val="none"/>
        </w:rPr>
        <w:fldChar w:fldCharType="separate"/>
      </w:r>
      <w:r>
        <w:rPr>
          <w:highlight w:val="none"/>
        </w:rPr>
        <w:t>11</w:t>
      </w:r>
      <w:r>
        <w:rPr>
          <w:highlight w:val="none"/>
        </w:rPr>
        <w:fldChar w:fldCharType="end"/>
      </w:r>
      <w:r>
        <w:rPr>
          <w:highlight w:val="none"/>
        </w:rPr>
        <w:fldChar w:fldCharType="end"/>
      </w:r>
    </w:p>
    <w:p w14:paraId="4D35DBA5">
      <w:pPr>
        <w:pStyle w:val="25"/>
        <w:rPr>
          <w:rFonts w:hint="eastAsia" w:ascii="等线" w:hAnsi="等线" w:eastAsia="等线"/>
          <w:sz w:val="21"/>
          <w:szCs w:val="22"/>
          <w:highlight w:val="none"/>
        </w:rPr>
      </w:pPr>
      <w:r>
        <w:rPr>
          <w:highlight w:val="none"/>
        </w:rPr>
        <w:fldChar w:fldCharType="begin"/>
      </w:r>
      <w:r>
        <w:rPr>
          <w:highlight w:val="none"/>
        </w:rPr>
        <w:instrText xml:space="preserve"> HYPERLINK \l "_Toc185152218" </w:instrText>
      </w:r>
      <w:r>
        <w:rPr>
          <w:highlight w:val="none"/>
        </w:rPr>
        <w:fldChar w:fldCharType="separate"/>
      </w:r>
      <w:r>
        <w:rPr>
          <w:rStyle w:val="35"/>
          <w:highlight w:val="none"/>
        </w:rPr>
        <w:t>附录2. 安全阀风险等级、下次校验日期</w:t>
      </w:r>
      <w:r>
        <w:rPr>
          <w:highlight w:val="none"/>
        </w:rPr>
        <w:tab/>
      </w:r>
      <w:r>
        <w:rPr>
          <w:highlight w:val="none"/>
        </w:rPr>
        <w:fldChar w:fldCharType="begin"/>
      </w:r>
      <w:r>
        <w:rPr>
          <w:highlight w:val="none"/>
        </w:rPr>
        <w:instrText xml:space="preserve"> PAGEREF _Toc185152218 \h </w:instrText>
      </w:r>
      <w:r>
        <w:rPr>
          <w:highlight w:val="none"/>
        </w:rPr>
        <w:fldChar w:fldCharType="separate"/>
      </w:r>
      <w:r>
        <w:rPr>
          <w:highlight w:val="none"/>
        </w:rPr>
        <w:t>11</w:t>
      </w:r>
      <w:r>
        <w:rPr>
          <w:highlight w:val="none"/>
        </w:rPr>
        <w:fldChar w:fldCharType="end"/>
      </w:r>
      <w:r>
        <w:rPr>
          <w:highlight w:val="none"/>
        </w:rPr>
        <w:fldChar w:fldCharType="end"/>
      </w:r>
    </w:p>
    <w:p w14:paraId="26382481">
      <w:pPr>
        <w:snapToGrid w:val="0"/>
        <w:spacing w:line="324" w:lineRule="auto"/>
        <w:rPr>
          <w:bCs/>
          <w:color w:val="000000"/>
          <w:highlight w:val="none"/>
        </w:rPr>
        <w:sectPr>
          <w:pgSz w:w="11906" w:h="16838"/>
          <w:pgMar w:top="1418" w:right="1418" w:bottom="1418" w:left="1701" w:header="1134" w:footer="1134" w:gutter="0"/>
          <w:pgNumType w:fmt="upperRoman" w:start="1"/>
          <w:cols w:space="720" w:num="1"/>
          <w:docGrid w:type="lines" w:linePitch="460" w:charSpace="0"/>
        </w:sectPr>
      </w:pPr>
      <w:r>
        <w:rPr>
          <w:bCs/>
          <w:color w:val="000000"/>
          <w:highlight w:val="none"/>
        </w:rPr>
        <w:fldChar w:fldCharType="end"/>
      </w:r>
    </w:p>
    <w:p w14:paraId="52DD415A">
      <w:pPr>
        <w:pStyle w:val="2"/>
        <w:spacing w:before="0" w:beforeLines="0" w:after="230" w:afterLines="0"/>
        <w:rPr>
          <w:kern w:val="2"/>
          <w:sz w:val="28"/>
          <w:highlight w:val="none"/>
        </w:rPr>
      </w:pPr>
      <w:bookmarkStart w:id="1" w:name="_Toc98261443"/>
      <w:bookmarkStart w:id="2" w:name="_Toc185152196"/>
      <w:r>
        <w:rPr>
          <w:kern w:val="2"/>
          <w:sz w:val="28"/>
          <w:highlight w:val="none"/>
        </w:rPr>
        <w:t>1.</w:t>
      </w:r>
      <w:r>
        <w:rPr>
          <w:kern w:val="2"/>
          <w:sz w:val="28"/>
          <w:highlight w:val="none"/>
        </w:rPr>
        <w:tab/>
      </w:r>
      <w:r>
        <w:rPr>
          <w:kern w:val="2"/>
          <w:sz w:val="28"/>
          <w:highlight w:val="none"/>
        </w:rPr>
        <w:t>项目</w:t>
      </w:r>
      <w:bookmarkEnd w:id="1"/>
      <w:r>
        <w:rPr>
          <w:rFonts w:hint="eastAsia"/>
          <w:kern w:val="2"/>
          <w:sz w:val="28"/>
          <w:highlight w:val="none"/>
        </w:rPr>
        <w:t>综述</w:t>
      </w:r>
      <w:bookmarkEnd w:id="2"/>
    </w:p>
    <w:p w14:paraId="0D210765">
      <w:pPr>
        <w:pStyle w:val="3"/>
        <w:spacing w:before="115" w:beforeLines="25" w:after="115" w:afterLines="25"/>
        <w:rPr>
          <w:color w:val="000000"/>
          <w:szCs w:val="24"/>
          <w:highlight w:val="none"/>
        </w:rPr>
      </w:pPr>
      <w:bookmarkStart w:id="3" w:name="_Toc185152197"/>
      <w:r>
        <w:rPr>
          <w:rFonts w:hint="eastAsia"/>
          <w:color w:val="000000"/>
          <w:szCs w:val="24"/>
          <w:highlight w:val="none"/>
        </w:rPr>
        <w:t>1</w:t>
      </w:r>
      <w:r>
        <w:rPr>
          <w:color w:val="000000"/>
          <w:szCs w:val="24"/>
          <w:highlight w:val="none"/>
        </w:rPr>
        <w:t>.1</w:t>
      </w:r>
      <w:r>
        <w:rPr>
          <w:color w:val="000000"/>
          <w:szCs w:val="24"/>
          <w:highlight w:val="none"/>
        </w:rPr>
        <w:tab/>
      </w:r>
      <w:r>
        <w:rPr>
          <w:rFonts w:hint="eastAsia"/>
          <w:color w:val="000000"/>
          <w:szCs w:val="24"/>
          <w:highlight w:val="none"/>
        </w:rPr>
        <w:t>概况</w:t>
      </w:r>
      <w:bookmarkEnd w:id="3"/>
    </w:p>
    <w:p w14:paraId="47255E2B">
      <w:pPr>
        <w:ind w:firstLine="480" w:firstLineChars="200"/>
        <w:rPr>
          <w:bCs/>
          <w:color w:val="000000"/>
          <w:highlight w:val="none"/>
        </w:rPr>
      </w:pPr>
      <w:r>
        <w:rPr>
          <w:rFonts w:hint="eastAsia"/>
          <w:bCs/>
          <w:color w:val="000000"/>
          <w:highlight w:val="none"/>
        </w:rPr>
        <w:t>受大连西太平洋石油化工有限公司（以下简称大连西太）的委托，国机特种设备检验有限公司承担</w:t>
      </w:r>
      <w:r>
        <w:rPr>
          <w:bCs/>
          <w:color w:val="000000"/>
          <w:highlight w:val="none"/>
        </w:rPr>
        <w:t>该公司</w:t>
      </w:r>
      <w:r>
        <w:rPr>
          <w:rFonts w:hint="eastAsia"/>
          <w:bCs/>
          <w:color w:val="000000"/>
          <w:highlight w:val="none"/>
        </w:rPr>
        <w:t>储运部</w:t>
      </w:r>
      <w:r>
        <w:rPr>
          <w:rFonts w:hint="eastAsia"/>
          <w:bCs/>
          <w:color w:val="000000"/>
          <w:highlight w:val="none"/>
          <w:lang w:val="en-US" w:eastAsia="zh-CN"/>
        </w:rPr>
        <w:t>等</w:t>
      </w:r>
      <w:r>
        <w:rPr>
          <w:rFonts w:hint="eastAsia"/>
          <w:bCs/>
          <w:color w:val="000000"/>
          <w:highlight w:val="none"/>
        </w:rPr>
        <w:t>安全阀</w:t>
      </w:r>
      <w:r>
        <w:rPr>
          <w:bCs/>
          <w:color w:val="000000"/>
          <w:highlight w:val="none"/>
        </w:rPr>
        <w:t>的风险评估(Risk-Based Inspection)项目。该项目</w:t>
      </w:r>
      <w:r>
        <w:rPr>
          <w:rFonts w:hint="eastAsia"/>
          <w:bCs/>
          <w:color w:val="000000"/>
          <w:highlight w:val="none"/>
        </w:rPr>
        <w:t>是在设备部领导与装置工作人员的大力支持与配合下，</w:t>
      </w:r>
      <w:r>
        <w:rPr>
          <w:bCs/>
          <w:color w:val="000000"/>
          <w:highlight w:val="none"/>
        </w:rPr>
        <w:t>利用</w:t>
      </w:r>
      <w:r>
        <w:rPr>
          <w:rFonts w:hint="eastAsia"/>
          <w:bCs/>
          <w:color w:val="000000"/>
          <w:highlight w:val="none"/>
        </w:rPr>
        <w:t>国机特种设备检验有限公司自主</w:t>
      </w:r>
      <w:r>
        <w:rPr>
          <w:bCs/>
          <w:color w:val="000000"/>
          <w:highlight w:val="none"/>
        </w:rPr>
        <w:t>开发的先进的</w:t>
      </w:r>
      <w:r>
        <w:rPr>
          <w:bCs/>
          <w:color w:val="000000"/>
          <w:highlight w:val="none"/>
          <w:lang w:val="fr-FR"/>
        </w:rPr>
        <w:t>RBI</w:t>
      </w:r>
      <w:r>
        <w:rPr>
          <w:bCs/>
          <w:color w:val="000000"/>
          <w:highlight w:val="none"/>
        </w:rPr>
        <w:t>软件(</w:t>
      </w:r>
      <w:r>
        <w:rPr>
          <w:rFonts w:hint="eastAsia"/>
          <w:bCs/>
          <w:color w:val="000000"/>
          <w:highlight w:val="none"/>
        </w:rPr>
        <w:t>通用石化装置工程风险分析系统</w:t>
      </w:r>
      <w:r>
        <w:rPr>
          <w:bCs/>
          <w:color w:val="000000"/>
          <w:highlight w:val="none"/>
        </w:rPr>
        <w:t>)，结合</w:t>
      </w:r>
      <w:r>
        <w:rPr>
          <w:rFonts w:hint="eastAsia"/>
          <w:bCs/>
          <w:color w:val="000000"/>
          <w:highlight w:val="none"/>
        </w:rPr>
        <w:t>国机特种设备检验有限公司</w:t>
      </w:r>
      <w:r>
        <w:rPr>
          <w:bCs/>
          <w:color w:val="000000"/>
          <w:highlight w:val="none"/>
        </w:rPr>
        <w:t>在设备检验检测方面的技术优势、丰富的检验数据以及对国内石化企业进行RBI工作所积累的经验来完成。</w:t>
      </w:r>
    </w:p>
    <w:p w14:paraId="7F9A8576">
      <w:pPr>
        <w:pStyle w:val="3"/>
        <w:spacing w:before="115" w:beforeLines="25" w:after="115" w:afterLines="25"/>
        <w:rPr>
          <w:szCs w:val="24"/>
          <w:highlight w:val="none"/>
        </w:rPr>
      </w:pPr>
      <w:bookmarkStart w:id="4" w:name="_Toc185152198"/>
      <w:r>
        <w:rPr>
          <w:rFonts w:hint="eastAsia"/>
          <w:szCs w:val="24"/>
          <w:highlight w:val="none"/>
        </w:rPr>
        <w:t>1</w:t>
      </w:r>
      <w:r>
        <w:rPr>
          <w:szCs w:val="24"/>
          <w:highlight w:val="none"/>
        </w:rPr>
        <w:t>.</w:t>
      </w:r>
      <w:r>
        <w:rPr>
          <w:rFonts w:hint="eastAsia"/>
          <w:szCs w:val="24"/>
          <w:highlight w:val="none"/>
        </w:rPr>
        <w:t>2</w:t>
      </w:r>
      <w:r>
        <w:rPr>
          <w:szCs w:val="24"/>
          <w:highlight w:val="none"/>
        </w:rPr>
        <w:tab/>
      </w:r>
      <w:r>
        <w:rPr>
          <w:rFonts w:hint="eastAsia"/>
          <w:szCs w:val="24"/>
          <w:highlight w:val="none"/>
        </w:rPr>
        <w:t>主要成果</w:t>
      </w:r>
      <w:bookmarkEnd w:id="4"/>
    </w:p>
    <w:p w14:paraId="65FF0B02">
      <w:pPr>
        <w:ind w:firstLine="480"/>
        <w:rPr>
          <w:bCs/>
          <w:color w:val="000000"/>
          <w:highlight w:val="none"/>
        </w:rPr>
      </w:pPr>
      <w:r>
        <w:rPr>
          <w:rFonts w:hint="eastAsia"/>
          <w:bCs/>
          <w:highlight w:val="none"/>
        </w:rPr>
        <w:t>自2026年</w:t>
      </w:r>
      <w:r>
        <w:rPr>
          <w:rFonts w:hint="eastAsia"/>
          <w:bCs/>
          <w:highlight w:val="none"/>
          <w:lang w:val="en-US" w:eastAsia="zh-CN"/>
        </w:rPr>
        <w:t>3</w:t>
      </w:r>
      <w:r>
        <w:rPr>
          <w:rFonts w:hint="eastAsia"/>
          <w:bCs/>
          <w:highlight w:val="none"/>
        </w:rPr>
        <w:t>月起，国机特种设备检验有限公司对大连西太储运部</w:t>
      </w:r>
      <w:r>
        <w:rPr>
          <w:rFonts w:hint="eastAsia"/>
          <w:bCs/>
          <w:highlight w:val="none"/>
          <w:lang w:val="en-US" w:eastAsia="zh-CN"/>
        </w:rPr>
        <w:t>等68</w:t>
      </w:r>
      <w:r>
        <w:rPr>
          <w:rFonts w:hint="eastAsia"/>
          <w:bCs/>
          <w:color w:val="000000"/>
          <w:highlight w:val="none"/>
        </w:rPr>
        <w:t>台安全阀进行风险评估，经过风险评估得到：</w:t>
      </w:r>
    </w:p>
    <w:p w14:paraId="04563169">
      <w:pPr>
        <w:ind w:firstLine="480"/>
        <w:rPr>
          <w:bCs/>
          <w:color w:val="000000"/>
          <w:highlight w:val="none"/>
        </w:rPr>
      </w:pPr>
      <w:r>
        <w:rPr>
          <w:rFonts w:hint="eastAsia"/>
          <w:bCs/>
          <w:color w:val="000000"/>
          <w:highlight w:val="none"/>
        </w:rPr>
        <w:t>1) 风险分布与统计。通过对储运部</w:t>
      </w:r>
      <w:r>
        <w:rPr>
          <w:rFonts w:hint="eastAsia"/>
          <w:bCs/>
          <w:color w:val="000000"/>
          <w:highlight w:val="none"/>
          <w:lang w:val="en-US" w:eastAsia="zh-CN"/>
        </w:rPr>
        <w:t>等</w:t>
      </w:r>
      <w:r>
        <w:rPr>
          <w:rFonts w:hint="eastAsia"/>
          <w:bCs/>
          <w:highlight w:val="none"/>
          <w:lang w:val="en-US" w:eastAsia="zh-CN"/>
        </w:rPr>
        <w:t>68</w:t>
      </w:r>
      <w:r>
        <w:rPr>
          <w:rFonts w:hint="eastAsia"/>
          <w:bCs/>
          <w:color w:val="000000"/>
          <w:highlight w:val="none"/>
        </w:rPr>
        <w:t>台安全阀进行风险计算，得到这些安全阀自最近一次校验后1-5年</w:t>
      </w:r>
      <w:r>
        <w:rPr>
          <w:rFonts w:hint="eastAsia"/>
          <w:bCs/>
          <w:highlight w:val="none"/>
        </w:rPr>
        <w:t>的风险分布情况与统计结果：</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109"/>
        <w:gridCol w:w="798"/>
        <w:gridCol w:w="1109"/>
        <w:gridCol w:w="911"/>
        <w:gridCol w:w="1109"/>
        <w:gridCol w:w="911"/>
        <w:gridCol w:w="1109"/>
        <w:gridCol w:w="914"/>
      </w:tblGrid>
      <w:tr w14:paraId="2669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vMerge w:val="restart"/>
            <w:vAlign w:val="center"/>
          </w:tcPr>
          <w:p w14:paraId="79B228E9">
            <w:pPr>
              <w:jc w:val="center"/>
              <w:rPr>
                <w:bCs/>
                <w:highlight w:val="none"/>
              </w:rPr>
            </w:pPr>
            <w:r>
              <w:rPr>
                <w:rFonts w:hint="eastAsia"/>
                <w:bCs/>
                <w:highlight w:val="none"/>
              </w:rPr>
              <w:t>计算</w:t>
            </w:r>
          </w:p>
          <w:p w14:paraId="42D87372">
            <w:pPr>
              <w:jc w:val="center"/>
              <w:rPr>
                <w:bCs/>
                <w:highlight w:val="none"/>
              </w:rPr>
            </w:pPr>
            <w:r>
              <w:rPr>
                <w:rFonts w:hint="eastAsia"/>
                <w:bCs/>
                <w:highlight w:val="none"/>
              </w:rPr>
              <w:t>年份</w:t>
            </w:r>
          </w:p>
        </w:tc>
        <w:tc>
          <w:tcPr>
            <w:tcW w:w="1059" w:type="pct"/>
            <w:gridSpan w:val="2"/>
          </w:tcPr>
          <w:p w14:paraId="04D1BF8C">
            <w:pPr>
              <w:jc w:val="center"/>
              <w:rPr>
                <w:bCs/>
                <w:highlight w:val="none"/>
              </w:rPr>
            </w:pPr>
            <w:r>
              <w:rPr>
                <w:rFonts w:hint="eastAsia"/>
                <w:bCs/>
                <w:highlight w:val="none"/>
              </w:rPr>
              <w:t>高风险</w:t>
            </w:r>
          </w:p>
        </w:tc>
        <w:tc>
          <w:tcPr>
            <w:tcW w:w="1122" w:type="pct"/>
            <w:gridSpan w:val="2"/>
          </w:tcPr>
          <w:p w14:paraId="7DAE1D3F">
            <w:pPr>
              <w:jc w:val="center"/>
              <w:rPr>
                <w:bCs/>
                <w:highlight w:val="none"/>
              </w:rPr>
            </w:pPr>
            <w:r>
              <w:rPr>
                <w:rFonts w:hint="eastAsia"/>
                <w:bCs/>
                <w:highlight w:val="none"/>
              </w:rPr>
              <w:t>中高风险</w:t>
            </w:r>
          </w:p>
        </w:tc>
        <w:tc>
          <w:tcPr>
            <w:tcW w:w="1122" w:type="pct"/>
            <w:gridSpan w:val="2"/>
          </w:tcPr>
          <w:p w14:paraId="1BA4ED5B">
            <w:pPr>
              <w:jc w:val="center"/>
              <w:rPr>
                <w:bCs/>
                <w:highlight w:val="none"/>
              </w:rPr>
            </w:pPr>
            <w:r>
              <w:rPr>
                <w:rFonts w:hint="eastAsia"/>
                <w:bCs/>
                <w:highlight w:val="none"/>
              </w:rPr>
              <w:t>中风险</w:t>
            </w:r>
          </w:p>
        </w:tc>
        <w:tc>
          <w:tcPr>
            <w:tcW w:w="1123" w:type="pct"/>
            <w:gridSpan w:val="2"/>
          </w:tcPr>
          <w:p w14:paraId="21326C17">
            <w:pPr>
              <w:jc w:val="center"/>
              <w:rPr>
                <w:bCs/>
                <w:highlight w:val="none"/>
              </w:rPr>
            </w:pPr>
            <w:r>
              <w:rPr>
                <w:rFonts w:hint="eastAsia"/>
                <w:bCs/>
                <w:highlight w:val="none"/>
              </w:rPr>
              <w:t>低风险</w:t>
            </w:r>
          </w:p>
        </w:tc>
      </w:tr>
      <w:tr w14:paraId="5685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vMerge w:val="continue"/>
          </w:tcPr>
          <w:p w14:paraId="36563D78">
            <w:pPr>
              <w:rPr>
                <w:bCs/>
                <w:highlight w:val="none"/>
              </w:rPr>
            </w:pPr>
          </w:p>
        </w:tc>
        <w:tc>
          <w:tcPr>
            <w:tcW w:w="616" w:type="pct"/>
          </w:tcPr>
          <w:p w14:paraId="258107F3">
            <w:pPr>
              <w:jc w:val="center"/>
              <w:rPr>
                <w:bCs/>
                <w:highlight w:val="none"/>
              </w:rPr>
            </w:pPr>
            <w:r>
              <w:rPr>
                <w:rFonts w:hint="eastAsia"/>
                <w:bCs/>
                <w:highlight w:val="none"/>
              </w:rPr>
              <w:t>安全阀数量(台)</w:t>
            </w:r>
          </w:p>
        </w:tc>
        <w:tc>
          <w:tcPr>
            <w:tcW w:w="443" w:type="pct"/>
          </w:tcPr>
          <w:p w14:paraId="621AC992">
            <w:pPr>
              <w:jc w:val="center"/>
              <w:rPr>
                <w:bCs/>
                <w:highlight w:val="none"/>
              </w:rPr>
            </w:pPr>
            <w:r>
              <w:rPr>
                <w:rFonts w:hint="eastAsia"/>
                <w:bCs/>
                <w:highlight w:val="none"/>
              </w:rPr>
              <w:t>所占比例</w:t>
            </w:r>
          </w:p>
        </w:tc>
        <w:tc>
          <w:tcPr>
            <w:tcW w:w="616" w:type="pct"/>
          </w:tcPr>
          <w:p w14:paraId="38B3CD24">
            <w:pPr>
              <w:jc w:val="center"/>
              <w:rPr>
                <w:bCs/>
                <w:highlight w:val="none"/>
              </w:rPr>
            </w:pPr>
            <w:r>
              <w:rPr>
                <w:rFonts w:hint="eastAsia"/>
                <w:bCs/>
                <w:highlight w:val="none"/>
              </w:rPr>
              <w:t>安全阀数量(台)</w:t>
            </w:r>
          </w:p>
        </w:tc>
        <w:tc>
          <w:tcPr>
            <w:tcW w:w="506" w:type="pct"/>
          </w:tcPr>
          <w:p w14:paraId="64D1B584">
            <w:pPr>
              <w:jc w:val="center"/>
              <w:rPr>
                <w:bCs/>
                <w:highlight w:val="none"/>
              </w:rPr>
            </w:pPr>
            <w:r>
              <w:rPr>
                <w:rFonts w:hint="eastAsia"/>
                <w:bCs/>
                <w:highlight w:val="none"/>
              </w:rPr>
              <w:t>所占比例</w:t>
            </w:r>
          </w:p>
        </w:tc>
        <w:tc>
          <w:tcPr>
            <w:tcW w:w="616" w:type="pct"/>
          </w:tcPr>
          <w:p w14:paraId="5C2D882E">
            <w:pPr>
              <w:jc w:val="center"/>
              <w:rPr>
                <w:bCs/>
                <w:highlight w:val="none"/>
              </w:rPr>
            </w:pPr>
            <w:r>
              <w:rPr>
                <w:rFonts w:hint="eastAsia"/>
                <w:bCs/>
                <w:highlight w:val="none"/>
              </w:rPr>
              <w:t>安全阀数量(台)</w:t>
            </w:r>
          </w:p>
        </w:tc>
        <w:tc>
          <w:tcPr>
            <w:tcW w:w="506" w:type="pct"/>
          </w:tcPr>
          <w:p w14:paraId="59CE36E2">
            <w:pPr>
              <w:jc w:val="center"/>
              <w:rPr>
                <w:bCs/>
                <w:highlight w:val="none"/>
              </w:rPr>
            </w:pPr>
            <w:r>
              <w:rPr>
                <w:rFonts w:hint="eastAsia"/>
                <w:bCs/>
                <w:highlight w:val="none"/>
              </w:rPr>
              <w:t>所占比例</w:t>
            </w:r>
          </w:p>
        </w:tc>
        <w:tc>
          <w:tcPr>
            <w:tcW w:w="616" w:type="pct"/>
          </w:tcPr>
          <w:p w14:paraId="571C64B3">
            <w:pPr>
              <w:jc w:val="center"/>
              <w:rPr>
                <w:bCs/>
                <w:highlight w:val="none"/>
              </w:rPr>
            </w:pPr>
            <w:r>
              <w:rPr>
                <w:rFonts w:hint="eastAsia"/>
                <w:bCs/>
                <w:highlight w:val="none"/>
              </w:rPr>
              <w:t>安全阀数量(台)</w:t>
            </w:r>
          </w:p>
        </w:tc>
        <w:tc>
          <w:tcPr>
            <w:tcW w:w="507" w:type="pct"/>
          </w:tcPr>
          <w:p w14:paraId="775016BE">
            <w:pPr>
              <w:jc w:val="center"/>
              <w:rPr>
                <w:bCs/>
                <w:highlight w:val="none"/>
              </w:rPr>
            </w:pPr>
            <w:r>
              <w:rPr>
                <w:rFonts w:hint="eastAsia"/>
                <w:bCs/>
                <w:highlight w:val="none"/>
              </w:rPr>
              <w:t>所占比例</w:t>
            </w:r>
          </w:p>
        </w:tc>
      </w:tr>
      <w:tr w14:paraId="5F21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tcPr>
          <w:p w14:paraId="583BE967">
            <w:pPr>
              <w:jc w:val="center"/>
              <w:rPr>
                <w:bCs/>
                <w:highlight w:val="none"/>
              </w:rPr>
            </w:pPr>
            <w:r>
              <w:rPr>
                <w:rFonts w:hint="eastAsia"/>
                <w:bCs/>
                <w:highlight w:val="none"/>
              </w:rPr>
              <w:t>1年后</w:t>
            </w:r>
          </w:p>
        </w:tc>
        <w:tc>
          <w:tcPr>
            <w:tcW w:w="1109" w:type="dxa"/>
            <w:vAlign w:val="center"/>
          </w:tcPr>
          <w:p w14:paraId="0D75EAE3">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w:t>
            </w:r>
          </w:p>
        </w:tc>
        <w:tc>
          <w:tcPr>
            <w:tcW w:w="798" w:type="dxa"/>
            <w:vAlign w:val="center"/>
          </w:tcPr>
          <w:p w14:paraId="7FC0D177">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2.94%</w:t>
            </w:r>
          </w:p>
        </w:tc>
        <w:tc>
          <w:tcPr>
            <w:tcW w:w="1109" w:type="dxa"/>
            <w:vAlign w:val="center"/>
          </w:tcPr>
          <w:p w14:paraId="2330BB9E">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911" w:type="dxa"/>
            <w:vAlign w:val="center"/>
          </w:tcPr>
          <w:p w14:paraId="1F9A59C4">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109" w:type="dxa"/>
            <w:vAlign w:val="center"/>
          </w:tcPr>
          <w:p w14:paraId="7F7284F9">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w:t>
            </w:r>
          </w:p>
        </w:tc>
        <w:tc>
          <w:tcPr>
            <w:tcW w:w="911" w:type="dxa"/>
            <w:vAlign w:val="center"/>
          </w:tcPr>
          <w:p w14:paraId="67643D50">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42.65%</w:t>
            </w:r>
          </w:p>
        </w:tc>
        <w:tc>
          <w:tcPr>
            <w:tcW w:w="1109" w:type="dxa"/>
            <w:vAlign w:val="center"/>
          </w:tcPr>
          <w:p w14:paraId="0B9125D2">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914" w:type="dxa"/>
            <w:vAlign w:val="center"/>
          </w:tcPr>
          <w:p w14:paraId="5A649126">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r w14:paraId="293E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tcPr>
          <w:p w14:paraId="1C2A39B7">
            <w:pPr>
              <w:jc w:val="center"/>
              <w:rPr>
                <w:bCs/>
                <w:highlight w:val="none"/>
              </w:rPr>
            </w:pPr>
            <w:r>
              <w:rPr>
                <w:rFonts w:hint="eastAsia"/>
                <w:bCs/>
                <w:highlight w:val="none"/>
              </w:rPr>
              <w:t>2年后</w:t>
            </w:r>
          </w:p>
        </w:tc>
        <w:tc>
          <w:tcPr>
            <w:tcW w:w="1109" w:type="dxa"/>
            <w:vAlign w:val="center"/>
          </w:tcPr>
          <w:p w14:paraId="1AF4DC01">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w:t>
            </w:r>
          </w:p>
        </w:tc>
        <w:tc>
          <w:tcPr>
            <w:tcW w:w="798" w:type="dxa"/>
            <w:vAlign w:val="center"/>
          </w:tcPr>
          <w:p w14:paraId="3EA8C085">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2.94%</w:t>
            </w:r>
          </w:p>
        </w:tc>
        <w:tc>
          <w:tcPr>
            <w:tcW w:w="1109" w:type="dxa"/>
            <w:vAlign w:val="center"/>
          </w:tcPr>
          <w:p w14:paraId="6AEE83F5">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911" w:type="dxa"/>
            <w:vAlign w:val="center"/>
          </w:tcPr>
          <w:p w14:paraId="5B493F72">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109" w:type="dxa"/>
            <w:vAlign w:val="center"/>
          </w:tcPr>
          <w:p w14:paraId="2413D28E">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w:t>
            </w:r>
          </w:p>
        </w:tc>
        <w:tc>
          <w:tcPr>
            <w:tcW w:w="911" w:type="dxa"/>
            <w:vAlign w:val="center"/>
          </w:tcPr>
          <w:p w14:paraId="278158C5">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42.65%</w:t>
            </w:r>
          </w:p>
        </w:tc>
        <w:tc>
          <w:tcPr>
            <w:tcW w:w="1109" w:type="dxa"/>
            <w:vAlign w:val="center"/>
          </w:tcPr>
          <w:p w14:paraId="28374679">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914" w:type="dxa"/>
            <w:vAlign w:val="center"/>
          </w:tcPr>
          <w:p w14:paraId="6B975FAE">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r w14:paraId="5576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tcPr>
          <w:p w14:paraId="5CE462E1">
            <w:pPr>
              <w:jc w:val="center"/>
              <w:rPr>
                <w:bCs/>
                <w:highlight w:val="none"/>
              </w:rPr>
            </w:pPr>
            <w:r>
              <w:rPr>
                <w:rFonts w:hint="eastAsia"/>
                <w:bCs/>
                <w:highlight w:val="none"/>
              </w:rPr>
              <w:t>3年后</w:t>
            </w:r>
          </w:p>
        </w:tc>
        <w:tc>
          <w:tcPr>
            <w:tcW w:w="1109" w:type="dxa"/>
            <w:vAlign w:val="center"/>
          </w:tcPr>
          <w:p w14:paraId="40B24115">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798" w:type="dxa"/>
            <w:vAlign w:val="center"/>
          </w:tcPr>
          <w:p w14:paraId="11779953">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c>
          <w:tcPr>
            <w:tcW w:w="1109" w:type="dxa"/>
            <w:vAlign w:val="center"/>
          </w:tcPr>
          <w:p w14:paraId="3441BEB3">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911" w:type="dxa"/>
            <w:vAlign w:val="center"/>
          </w:tcPr>
          <w:p w14:paraId="593D9FAF">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109" w:type="dxa"/>
            <w:vAlign w:val="center"/>
          </w:tcPr>
          <w:p w14:paraId="2C23E16E">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27</w:t>
            </w:r>
          </w:p>
        </w:tc>
        <w:tc>
          <w:tcPr>
            <w:tcW w:w="911" w:type="dxa"/>
            <w:vAlign w:val="center"/>
          </w:tcPr>
          <w:p w14:paraId="778BFF2A">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39.71%</w:t>
            </w:r>
          </w:p>
        </w:tc>
        <w:tc>
          <w:tcPr>
            <w:tcW w:w="1109" w:type="dxa"/>
            <w:vAlign w:val="center"/>
          </w:tcPr>
          <w:p w14:paraId="50C8F607">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914" w:type="dxa"/>
            <w:vAlign w:val="center"/>
          </w:tcPr>
          <w:p w14:paraId="4893497A">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r w14:paraId="7995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tcPr>
          <w:p w14:paraId="44C3B862">
            <w:pPr>
              <w:jc w:val="center"/>
              <w:rPr>
                <w:bCs/>
                <w:highlight w:val="none"/>
              </w:rPr>
            </w:pPr>
            <w:r>
              <w:rPr>
                <w:rFonts w:hint="eastAsia"/>
                <w:bCs/>
                <w:highlight w:val="none"/>
              </w:rPr>
              <w:t>4年后</w:t>
            </w:r>
          </w:p>
        </w:tc>
        <w:tc>
          <w:tcPr>
            <w:tcW w:w="1109" w:type="dxa"/>
            <w:vAlign w:val="center"/>
          </w:tcPr>
          <w:p w14:paraId="23856F4E">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798" w:type="dxa"/>
            <w:vAlign w:val="center"/>
          </w:tcPr>
          <w:p w14:paraId="510BC5CC">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c>
          <w:tcPr>
            <w:tcW w:w="1109" w:type="dxa"/>
            <w:vAlign w:val="center"/>
          </w:tcPr>
          <w:p w14:paraId="4BB0015E">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911" w:type="dxa"/>
            <w:vAlign w:val="center"/>
          </w:tcPr>
          <w:p w14:paraId="3A316052">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109" w:type="dxa"/>
            <w:vAlign w:val="center"/>
          </w:tcPr>
          <w:p w14:paraId="1348F638">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27</w:t>
            </w:r>
          </w:p>
        </w:tc>
        <w:tc>
          <w:tcPr>
            <w:tcW w:w="911" w:type="dxa"/>
            <w:vAlign w:val="center"/>
          </w:tcPr>
          <w:p w14:paraId="711A804F">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39.71%</w:t>
            </w:r>
          </w:p>
        </w:tc>
        <w:tc>
          <w:tcPr>
            <w:tcW w:w="1109" w:type="dxa"/>
            <w:vAlign w:val="center"/>
          </w:tcPr>
          <w:p w14:paraId="20B938DC">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914" w:type="dxa"/>
            <w:vAlign w:val="center"/>
          </w:tcPr>
          <w:p w14:paraId="7CC70199">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r w14:paraId="655F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tcPr>
          <w:p w14:paraId="6C1898BB">
            <w:pPr>
              <w:jc w:val="center"/>
              <w:rPr>
                <w:bCs/>
                <w:highlight w:val="none"/>
              </w:rPr>
            </w:pPr>
            <w:r>
              <w:rPr>
                <w:rFonts w:hint="eastAsia"/>
                <w:bCs/>
                <w:highlight w:val="none"/>
              </w:rPr>
              <w:t>5年后</w:t>
            </w:r>
          </w:p>
        </w:tc>
        <w:tc>
          <w:tcPr>
            <w:tcW w:w="1109" w:type="dxa"/>
            <w:vAlign w:val="center"/>
          </w:tcPr>
          <w:p w14:paraId="06A8378C">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6</w:t>
            </w:r>
          </w:p>
        </w:tc>
        <w:tc>
          <w:tcPr>
            <w:tcW w:w="798" w:type="dxa"/>
            <w:vAlign w:val="center"/>
          </w:tcPr>
          <w:p w14:paraId="7E67A1D7">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8.82%</w:t>
            </w:r>
          </w:p>
        </w:tc>
        <w:tc>
          <w:tcPr>
            <w:tcW w:w="1109" w:type="dxa"/>
            <w:vAlign w:val="center"/>
          </w:tcPr>
          <w:p w14:paraId="68B8A6D8">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31</w:t>
            </w:r>
          </w:p>
        </w:tc>
        <w:tc>
          <w:tcPr>
            <w:tcW w:w="911" w:type="dxa"/>
            <w:vAlign w:val="center"/>
          </w:tcPr>
          <w:p w14:paraId="0EE5A27C">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45.59%</w:t>
            </w:r>
          </w:p>
        </w:tc>
        <w:tc>
          <w:tcPr>
            <w:tcW w:w="1109" w:type="dxa"/>
            <w:vAlign w:val="center"/>
          </w:tcPr>
          <w:p w14:paraId="1A9725BF">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30</w:t>
            </w:r>
          </w:p>
        </w:tc>
        <w:tc>
          <w:tcPr>
            <w:tcW w:w="911" w:type="dxa"/>
            <w:vAlign w:val="center"/>
          </w:tcPr>
          <w:p w14:paraId="338FDACB">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44.12%</w:t>
            </w:r>
          </w:p>
        </w:tc>
        <w:tc>
          <w:tcPr>
            <w:tcW w:w="1109" w:type="dxa"/>
            <w:vAlign w:val="center"/>
          </w:tcPr>
          <w:p w14:paraId="30C95F62">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1</w:t>
            </w:r>
          </w:p>
        </w:tc>
        <w:tc>
          <w:tcPr>
            <w:tcW w:w="914" w:type="dxa"/>
            <w:vAlign w:val="center"/>
          </w:tcPr>
          <w:p w14:paraId="385D10F0">
            <w:pPr>
              <w:keepNext w:val="0"/>
              <w:keepLines w:val="0"/>
              <w:widowControl/>
              <w:suppressLineNumbers w:val="0"/>
              <w:jc w:val="center"/>
              <w:textAlignment w:val="center"/>
              <w:rPr>
                <w:bCs/>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1.47%</w:t>
            </w:r>
          </w:p>
        </w:tc>
      </w:tr>
    </w:tbl>
    <w:p w14:paraId="1EE2900A">
      <w:pPr>
        <w:ind w:firstLine="480"/>
        <w:rPr>
          <w:bCs/>
          <w:color w:val="000000"/>
          <w:highlight w:val="none"/>
        </w:rPr>
      </w:pPr>
      <w:r>
        <w:rPr>
          <w:rFonts w:hint="eastAsia"/>
          <w:bCs/>
          <w:color w:val="000000"/>
          <w:highlight w:val="none"/>
        </w:rPr>
        <w:t xml:space="preserve">2) </w:t>
      </w:r>
      <w:r>
        <w:rPr>
          <w:rFonts w:hint="eastAsia"/>
          <w:highlight w:val="none"/>
        </w:rPr>
        <w:t>安全阀失效模式主要有密封失效、不能及时开启、不能稳定及时地排放、排放后不能及时关闭和关闭后的密封失效；</w:t>
      </w:r>
    </w:p>
    <w:p w14:paraId="74BC8DF8">
      <w:pPr>
        <w:ind w:firstLine="480"/>
        <w:rPr>
          <w:bCs/>
          <w:color w:val="000000"/>
          <w:highlight w:val="none"/>
        </w:rPr>
      </w:pPr>
      <w:r>
        <w:rPr>
          <w:rFonts w:hint="eastAsia"/>
          <w:bCs/>
          <w:color w:val="000000"/>
          <w:highlight w:val="none"/>
        </w:rPr>
        <w:t>3) 校验周期确定。本次所评</w:t>
      </w:r>
      <w:r>
        <w:rPr>
          <w:rFonts w:hint="eastAsia"/>
          <w:bCs/>
          <w:color w:val="000000"/>
          <w:highlight w:val="none"/>
          <w:lang w:val="en-US" w:eastAsia="zh-CN"/>
        </w:rPr>
        <w:t>6</w:t>
      </w:r>
      <w:r>
        <w:rPr>
          <w:rFonts w:hint="eastAsia"/>
          <w:bCs/>
          <w:highlight w:val="none"/>
          <w:lang w:val="en-US" w:eastAsia="zh-CN"/>
        </w:rPr>
        <w:t>8</w:t>
      </w:r>
      <w:r>
        <w:rPr>
          <w:rFonts w:hint="eastAsia"/>
          <w:bCs/>
          <w:color w:val="000000"/>
          <w:highlight w:val="none"/>
        </w:rPr>
        <w:t>台安全阀，其中</w:t>
      </w:r>
      <w:r>
        <w:rPr>
          <w:rFonts w:hint="eastAsia"/>
          <w:bCs/>
          <w:color w:val="000000"/>
          <w:highlight w:val="none"/>
          <w:lang w:val="en-US" w:eastAsia="zh-CN"/>
        </w:rPr>
        <w:t>35</w:t>
      </w:r>
      <w:r>
        <w:rPr>
          <w:rFonts w:hint="eastAsia"/>
          <w:bCs/>
          <w:highlight w:val="none"/>
        </w:rPr>
        <w:t>台安全阀需要在202</w:t>
      </w:r>
      <w:r>
        <w:rPr>
          <w:rFonts w:hint="eastAsia"/>
          <w:bCs/>
          <w:highlight w:val="none"/>
          <w:lang w:val="en-US" w:eastAsia="zh-CN"/>
        </w:rPr>
        <w:t>7</w:t>
      </w:r>
      <w:r>
        <w:rPr>
          <w:rFonts w:hint="eastAsia"/>
          <w:bCs/>
          <w:highlight w:val="none"/>
        </w:rPr>
        <w:t>年6月30日前进行校验，占已校验安全阀总数的</w:t>
      </w:r>
      <w:r>
        <w:rPr>
          <w:rFonts w:hint="eastAsia"/>
          <w:bCs/>
          <w:highlight w:val="none"/>
          <w:lang w:val="en-US" w:eastAsia="zh-CN"/>
        </w:rPr>
        <w:t>51.47</w:t>
      </w:r>
      <w:r>
        <w:rPr>
          <w:rFonts w:hint="eastAsia"/>
          <w:bCs/>
          <w:highlight w:val="none"/>
        </w:rPr>
        <w:t>%；</w:t>
      </w:r>
      <w:r>
        <w:rPr>
          <w:rFonts w:hint="eastAsia"/>
          <w:bCs/>
          <w:highlight w:val="none"/>
          <w:lang w:val="en-US" w:eastAsia="zh-CN"/>
        </w:rPr>
        <w:t>21</w:t>
      </w:r>
      <w:r>
        <w:rPr>
          <w:rFonts w:hint="eastAsia"/>
          <w:bCs/>
          <w:highlight w:val="none"/>
        </w:rPr>
        <w:t>台安全阀需要在202</w:t>
      </w:r>
      <w:r>
        <w:rPr>
          <w:rFonts w:hint="eastAsia"/>
          <w:bCs/>
          <w:highlight w:val="none"/>
          <w:lang w:val="en-US" w:eastAsia="zh-CN"/>
        </w:rPr>
        <w:t>8</w:t>
      </w:r>
      <w:r>
        <w:rPr>
          <w:rFonts w:hint="eastAsia"/>
          <w:bCs/>
          <w:highlight w:val="none"/>
        </w:rPr>
        <w:t>年6月30日前进行校验，占已校验安全阀总数的</w:t>
      </w:r>
      <w:r>
        <w:rPr>
          <w:rFonts w:hint="eastAsia"/>
          <w:bCs/>
          <w:highlight w:val="none"/>
          <w:lang w:val="en-US" w:eastAsia="zh-CN"/>
        </w:rPr>
        <w:t>30.88</w:t>
      </w:r>
      <w:r>
        <w:rPr>
          <w:rFonts w:hint="eastAsia"/>
          <w:bCs/>
          <w:highlight w:val="none"/>
        </w:rPr>
        <w:t>%；</w:t>
      </w:r>
      <w:r>
        <w:rPr>
          <w:rFonts w:hint="eastAsia"/>
          <w:bCs/>
          <w:highlight w:val="none"/>
          <w:lang w:val="en-US" w:eastAsia="zh-CN"/>
        </w:rPr>
        <w:t>9</w:t>
      </w:r>
      <w:r>
        <w:rPr>
          <w:rFonts w:hint="eastAsia"/>
          <w:bCs/>
          <w:highlight w:val="none"/>
        </w:rPr>
        <w:t>台安全阀需要在20</w:t>
      </w:r>
      <w:r>
        <w:rPr>
          <w:rFonts w:hint="eastAsia"/>
          <w:bCs/>
          <w:highlight w:val="none"/>
          <w:lang w:val="en-US" w:eastAsia="zh-CN"/>
        </w:rPr>
        <w:t>29</w:t>
      </w:r>
      <w:r>
        <w:rPr>
          <w:rFonts w:hint="eastAsia"/>
          <w:bCs/>
          <w:highlight w:val="none"/>
        </w:rPr>
        <w:t>年6月30日前进校验，占已校验安全阀总数的</w:t>
      </w:r>
      <w:r>
        <w:rPr>
          <w:rFonts w:hint="eastAsia"/>
          <w:bCs/>
          <w:highlight w:val="none"/>
          <w:lang w:val="en-US" w:eastAsia="zh-CN"/>
        </w:rPr>
        <w:t>13.24</w:t>
      </w:r>
      <w:r>
        <w:rPr>
          <w:rFonts w:hint="eastAsia"/>
          <w:bCs/>
          <w:highlight w:val="none"/>
        </w:rPr>
        <w:t>%；</w:t>
      </w:r>
      <w:r>
        <w:rPr>
          <w:rFonts w:hint="eastAsia"/>
          <w:bCs/>
          <w:highlight w:val="none"/>
          <w:lang w:val="en-US" w:eastAsia="zh-CN"/>
        </w:rPr>
        <w:t>3</w:t>
      </w:r>
      <w:r>
        <w:rPr>
          <w:rFonts w:hint="eastAsia"/>
          <w:bCs/>
          <w:highlight w:val="none"/>
        </w:rPr>
        <w:t>台安全阀需要在2030年6月30日前进校验，占已校验安全阀总数的</w:t>
      </w:r>
      <w:r>
        <w:rPr>
          <w:rFonts w:hint="eastAsia"/>
          <w:bCs/>
          <w:highlight w:val="none"/>
          <w:lang w:val="en-US" w:eastAsia="zh-CN"/>
        </w:rPr>
        <w:t>4.41</w:t>
      </w:r>
      <w:r>
        <w:rPr>
          <w:rFonts w:hint="eastAsia"/>
          <w:bCs/>
          <w:highlight w:val="none"/>
        </w:rPr>
        <w:t>%</w:t>
      </w:r>
      <w:r>
        <w:rPr>
          <w:rFonts w:hint="eastAsia"/>
          <w:bCs/>
          <w:color w:val="000000"/>
          <w:highlight w:val="none"/>
        </w:rPr>
        <w:t>。详见附录2。</w:t>
      </w:r>
    </w:p>
    <w:p w14:paraId="009F6818">
      <w:pPr>
        <w:ind w:firstLine="480"/>
        <w:rPr>
          <w:bCs/>
          <w:color w:val="000000"/>
          <w:highlight w:val="none"/>
        </w:rPr>
      </w:pPr>
      <w:r>
        <w:rPr>
          <w:rFonts w:hint="eastAsia"/>
          <w:color w:val="000000"/>
          <w:highlight w:val="none"/>
        </w:rPr>
        <w:t>其他通过风险评估得到的结论，将在正文中逐一阐述。</w:t>
      </w:r>
    </w:p>
    <w:p w14:paraId="7E692413">
      <w:pPr>
        <w:pStyle w:val="2"/>
        <w:tabs>
          <w:tab w:val="clear" w:pos="480"/>
        </w:tabs>
        <w:spacing w:before="0" w:beforeLines="0" w:after="230" w:afterLines="0"/>
        <w:rPr>
          <w:color w:val="000000"/>
          <w:kern w:val="2"/>
          <w:sz w:val="28"/>
          <w:highlight w:val="none"/>
        </w:rPr>
      </w:pPr>
      <w:bookmarkStart w:id="5" w:name="_Toc342396536"/>
      <w:bookmarkStart w:id="6" w:name="_Toc199041470"/>
      <w:bookmarkStart w:id="7" w:name="_Toc185152199"/>
      <w:bookmarkStart w:id="8" w:name="_Toc98261444"/>
      <w:r>
        <w:rPr>
          <w:kern w:val="2"/>
          <w:sz w:val="28"/>
          <w:highlight w:val="none"/>
        </w:rPr>
        <w:t>2.</w:t>
      </w:r>
      <w:r>
        <w:rPr>
          <w:kern w:val="2"/>
          <w:sz w:val="28"/>
          <w:highlight w:val="none"/>
        </w:rPr>
        <w:tab/>
      </w:r>
      <w:r>
        <w:rPr>
          <w:kern w:val="2"/>
          <w:sz w:val="28"/>
          <w:highlight w:val="none"/>
        </w:rPr>
        <w:t>RBI技术概述</w:t>
      </w:r>
      <w:bookmarkEnd w:id="5"/>
      <w:bookmarkEnd w:id="6"/>
      <w:bookmarkEnd w:id="7"/>
      <w:bookmarkEnd w:id="8"/>
    </w:p>
    <w:p w14:paraId="2299F86C">
      <w:pPr>
        <w:ind w:firstLine="480" w:firstLineChars="200"/>
        <w:rPr>
          <w:bCs/>
          <w:color w:val="000000"/>
          <w:highlight w:val="none"/>
        </w:rPr>
      </w:pPr>
      <w:r>
        <w:rPr>
          <w:bCs/>
          <w:color w:val="000000"/>
          <w:highlight w:val="none"/>
        </w:rPr>
        <w:t>基于风险的检测(RBI)是一种追求系统安全性与经济性统一的理念与方法，它是在对系统中固有的或潜在的危险发生的可能性与后果进行科学分析的基础上，给出风险排序，找出薄弱环节，以确保本质安全和减少运行费用为目标，优化检验策略的一种管理方式。</w:t>
      </w:r>
    </w:p>
    <w:p w14:paraId="07DC0E7F">
      <w:pPr>
        <w:ind w:firstLine="480" w:firstLineChars="200"/>
        <w:rPr>
          <w:bCs/>
          <w:color w:val="000000"/>
          <w:highlight w:val="none"/>
          <w:vertAlign w:val="superscript"/>
        </w:rPr>
      </w:pPr>
      <w:r>
        <w:rPr>
          <w:bCs/>
          <w:color w:val="000000"/>
          <w:highlight w:val="none"/>
        </w:rPr>
        <w:t>上个世纪九十年代初期，欧美二十余家石化企业集团为了在安全的前提下降低运行成本，共同发起资助美国石油学会(API)开展RBI在石化企业(主要是树脂厂)的应用研究工作。</w:t>
      </w:r>
      <w:r>
        <w:rPr>
          <w:bCs/>
          <w:color w:val="000000"/>
          <w:highlight w:val="none"/>
          <w:lang w:val="fr-FR"/>
        </w:rPr>
        <w:t>1996</w:t>
      </w:r>
      <w:r>
        <w:rPr>
          <w:bCs/>
          <w:color w:val="000000"/>
          <w:highlight w:val="none"/>
        </w:rPr>
        <w:t>年</w:t>
      </w:r>
      <w:r>
        <w:rPr>
          <w:bCs/>
          <w:color w:val="000000"/>
          <w:highlight w:val="none"/>
          <w:lang w:val="fr-FR"/>
        </w:rPr>
        <w:t>API</w:t>
      </w:r>
      <w:r>
        <w:rPr>
          <w:bCs/>
          <w:color w:val="000000"/>
          <w:highlight w:val="none"/>
        </w:rPr>
        <w:t>公布了RBI基本资源文件</w:t>
      </w:r>
      <w:r>
        <w:rPr>
          <w:bCs/>
          <w:color w:val="000000"/>
          <w:highlight w:val="none"/>
          <w:lang w:val="fr-FR"/>
        </w:rPr>
        <w:t>API BRD 581</w:t>
      </w:r>
      <w:r>
        <w:rPr>
          <w:bCs/>
          <w:color w:val="000000"/>
          <w:highlight w:val="none"/>
        </w:rPr>
        <w:t>的草案，</w:t>
      </w:r>
      <w:r>
        <w:rPr>
          <w:bCs/>
          <w:color w:val="000000"/>
          <w:highlight w:val="none"/>
          <w:lang w:val="fr-FR"/>
        </w:rPr>
        <w:t>2000</w:t>
      </w:r>
      <w:r>
        <w:rPr>
          <w:bCs/>
          <w:color w:val="000000"/>
          <w:highlight w:val="none"/>
        </w:rPr>
        <w:t>年</w:t>
      </w:r>
      <w:r>
        <w:rPr>
          <w:bCs/>
          <w:color w:val="000000"/>
          <w:highlight w:val="none"/>
          <w:lang w:val="fr-FR"/>
        </w:rPr>
        <w:t>5</w:t>
      </w:r>
      <w:r>
        <w:rPr>
          <w:bCs/>
          <w:color w:val="000000"/>
          <w:highlight w:val="none"/>
        </w:rPr>
        <w:t>月又公布</w:t>
      </w:r>
      <w:r>
        <w:rPr>
          <w:bCs/>
          <w:color w:val="000000"/>
          <w:highlight w:val="none"/>
          <w:lang w:val="fr-FR"/>
        </w:rPr>
        <w:t>API 581</w:t>
      </w:r>
      <w:r>
        <w:rPr>
          <w:bCs/>
          <w:color w:val="000000"/>
          <w:highlight w:val="none"/>
        </w:rPr>
        <w:t>正式文件。</w:t>
      </w:r>
      <w:r>
        <w:rPr>
          <w:bCs/>
          <w:color w:val="000000"/>
          <w:highlight w:val="none"/>
          <w:lang w:val="fr-FR"/>
        </w:rPr>
        <w:t>2002</w:t>
      </w:r>
      <w:r>
        <w:rPr>
          <w:bCs/>
          <w:color w:val="000000"/>
          <w:highlight w:val="none"/>
        </w:rPr>
        <w:t>年</w:t>
      </w:r>
      <w:r>
        <w:rPr>
          <w:bCs/>
          <w:color w:val="000000"/>
          <w:highlight w:val="none"/>
          <w:lang w:val="fr-FR"/>
        </w:rPr>
        <w:t>5</w:t>
      </w:r>
      <w:r>
        <w:rPr>
          <w:bCs/>
          <w:color w:val="000000"/>
          <w:highlight w:val="none"/>
        </w:rPr>
        <w:t>月正式颁布了</w:t>
      </w:r>
      <w:r>
        <w:rPr>
          <w:bCs/>
          <w:color w:val="000000"/>
          <w:highlight w:val="none"/>
          <w:lang w:val="fr-FR"/>
        </w:rPr>
        <w:t>RBI</w:t>
      </w:r>
      <w:r>
        <w:rPr>
          <w:bCs/>
          <w:color w:val="000000"/>
          <w:highlight w:val="none"/>
        </w:rPr>
        <w:t>标准</w:t>
      </w:r>
      <w:r>
        <w:rPr>
          <w:bCs/>
          <w:color w:val="000000"/>
          <w:highlight w:val="none"/>
          <w:lang w:val="fr-FR"/>
        </w:rPr>
        <w:t>API RP 580</w:t>
      </w:r>
      <w:r>
        <w:rPr>
          <w:bCs/>
          <w:color w:val="000000"/>
          <w:highlight w:val="none"/>
        </w:rPr>
        <w:t>。十多年来，西方发达国家甚至亚洲的韩国、新加坡等国家和地区的石化树脂厂广泛应用了RBI方法进行成套装置中的承压设备的检验与维修，使得风险和检验维修费用都大幅度下降。</w:t>
      </w:r>
    </w:p>
    <w:p w14:paraId="2024C7A6">
      <w:pPr>
        <w:ind w:firstLine="480" w:firstLineChars="200"/>
        <w:rPr>
          <w:color w:val="000000"/>
          <w:highlight w:val="none"/>
        </w:rPr>
      </w:pPr>
      <w:r>
        <w:rPr>
          <w:bCs/>
          <w:color w:val="000000"/>
          <w:highlight w:val="none"/>
        </w:rPr>
        <w:t>自上世纪末期中国有关高校与研究机构引入RBI概念，近年来，国家科技部及中石油、中石化也设立多项科研项目支持这项工作。</w:t>
      </w:r>
      <w:r>
        <w:rPr>
          <w:color w:val="000000"/>
          <w:highlight w:val="none"/>
        </w:rPr>
        <w:t>合肥通用机械研究</w:t>
      </w:r>
      <w:r>
        <w:rPr>
          <w:rFonts w:hint="eastAsia"/>
          <w:color w:val="000000"/>
          <w:highlight w:val="none"/>
        </w:rPr>
        <w:t>院特种设备</w:t>
      </w:r>
      <w:r>
        <w:rPr>
          <w:bCs/>
          <w:color w:val="000000"/>
          <w:highlight w:val="none"/>
        </w:rPr>
        <w:t>检验站</w:t>
      </w:r>
      <w:r>
        <w:rPr>
          <w:color w:val="000000"/>
          <w:highlight w:val="none"/>
        </w:rPr>
        <w:t>等单位已成功地将该技术应用到我国石化装置承压设备的风险评估中，并于2003年开始陆续</w:t>
      </w:r>
      <w:r>
        <w:rPr>
          <w:rFonts w:hint="eastAsia"/>
          <w:bCs/>
          <w:highlight w:val="none"/>
        </w:rPr>
        <w:t>在茂名石化、大连西太平洋石化、大庆石化、抚顺石化、大连石化、独山子石化、齐鲁石化、扬子石化、福建炼化等石化企业</w:t>
      </w:r>
      <w:r>
        <w:rPr>
          <w:rFonts w:hint="eastAsia"/>
          <w:highlight w:val="none"/>
        </w:rPr>
        <w:t>进行了两千余套石化装置风险评估</w:t>
      </w:r>
      <w:r>
        <w:rPr>
          <w:color w:val="000000"/>
          <w:highlight w:val="none"/>
        </w:rPr>
        <w:t>工作。目前中石油、中石化有</w:t>
      </w:r>
      <w:r>
        <w:rPr>
          <w:rFonts w:hint="eastAsia"/>
          <w:color w:val="000000"/>
          <w:highlight w:val="none"/>
        </w:rPr>
        <w:t>四</w:t>
      </w:r>
      <w:r>
        <w:rPr>
          <w:color w:val="000000"/>
          <w:highlight w:val="none"/>
        </w:rPr>
        <w:t>十余家企业正在开展此项工作。</w:t>
      </w:r>
    </w:p>
    <w:p w14:paraId="3E0BF6E8">
      <w:pPr>
        <w:pStyle w:val="2"/>
        <w:tabs>
          <w:tab w:val="left" w:pos="340"/>
          <w:tab w:val="clear" w:pos="480"/>
        </w:tabs>
        <w:spacing w:before="230" w:beforeLines="0" w:after="230" w:afterLines="0"/>
        <w:rPr>
          <w:color w:val="000000"/>
          <w:kern w:val="2"/>
          <w:sz w:val="28"/>
          <w:highlight w:val="none"/>
        </w:rPr>
      </w:pPr>
      <w:bookmarkStart w:id="9" w:name="_Toc347251843"/>
      <w:bookmarkStart w:id="10" w:name="_Toc98261450"/>
      <w:bookmarkStart w:id="11" w:name="_Toc185152200"/>
      <w:bookmarkStart w:id="12" w:name="_Toc330146586"/>
      <w:r>
        <w:rPr>
          <w:rFonts w:hint="eastAsia"/>
          <w:color w:val="000000"/>
          <w:kern w:val="2"/>
          <w:sz w:val="28"/>
          <w:highlight w:val="none"/>
        </w:rPr>
        <w:t>3</w:t>
      </w:r>
      <w:r>
        <w:rPr>
          <w:color w:val="000000"/>
          <w:kern w:val="2"/>
          <w:sz w:val="28"/>
          <w:highlight w:val="none"/>
        </w:rPr>
        <w:t>.</w:t>
      </w:r>
      <w:r>
        <w:rPr>
          <w:color w:val="000000"/>
          <w:kern w:val="2"/>
          <w:sz w:val="28"/>
          <w:highlight w:val="none"/>
        </w:rPr>
        <w:tab/>
      </w:r>
      <w:r>
        <w:rPr>
          <w:color w:val="000000"/>
          <w:kern w:val="2"/>
          <w:sz w:val="28"/>
          <w:highlight w:val="none"/>
        </w:rPr>
        <w:t>项目实施执行或参照的标准、法规和资料</w:t>
      </w:r>
      <w:bookmarkEnd w:id="9"/>
      <w:bookmarkEnd w:id="10"/>
      <w:bookmarkEnd w:id="11"/>
      <w:bookmarkEnd w:id="12"/>
    </w:p>
    <w:p w14:paraId="6C0C06AF">
      <w:pPr>
        <w:pStyle w:val="10"/>
        <w:numPr>
          <w:ilvl w:val="0"/>
          <w:numId w:val="1"/>
        </w:numPr>
        <w:tabs>
          <w:tab w:val="left" w:pos="960"/>
        </w:tabs>
        <w:ind w:left="480" w:firstLine="10"/>
        <w:rPr>
          <w:rFonts w:cs="Tahoma"/>
          <w:highlight w:val="none"/>
        </w:rPr>
      </w:pPr>
      <w:bookmarkStart w:id="13" w:name="_Toc98261451"/>
      <w:r>
        <w:rPr>
          <w:rFonts w:hint="eastAsia" w:cs="Tahoma"/>
          <w:highlight w:val="none"/>
          <w:lang w:val="fr-FR"/>
        </w:rPr>
        <w:t>《中华人民共和国特种设备安全法》</w:t>
      </w:r>
    </w:p>
    <w:p w14:paraId="246950B3">
      <w:pPr>
        <w:pStyle w:val="10"/>
        <w:numPr>
          <w:ilvl w:val="0"/>
          <w:numId w:val="1"/>
        </w:numPr>
        <w:tabs>
          <w:tab w:val="left" w:pos="960"/>
        </w:tabs>
        <w:ind w:left="480" w:firstLine="10"/>
        <w:rPr>
          <w:rFonts w:cs="Tahoma"/>
          <w:highlight w:val="none"/>
        </w:rPr>
      </w:pPr>
      <w:r>
        <w:rPr>
          <w:rFonts w:hint="eastAsia" w:cs="Tahoma"/>
          <w:highlight w:val="none"/>
          <w:lang w:val="fr-FR"/>
        </w:rPr>
        <w:t>《特种设备安全监察条例》</w:t>
      </w:r>
    </w:p>
    <w:p w14:paraId="7749B6DE">
      <w:pPr>
        <w:pStyle w:val="10"/>
        <w:numPr>
          <w:ilvl w:val="0"/>
          <w:numId w:val="1"/>
        </w:numPr>
        <w:tabs>
          <w:tab w:val="left" w:pos="960"/>
        </w:tabs>
        <w:ind w:left="480" w:firstLine="10"/>
        <w:rPr>
          <w:rFonts w:cs="Tahoma"/>
          <w:highlight w:val="none"/>
        </w:rPr>
      </w:pPr>
      <w:r>
        <w:rPr>
          <w:rFonts w:cs="Tahoma"/>
          <w:highlight w:val="none"/>
        </w:rPr>
        <w:t>TSG 21-2016</w:t>
      </w:r>
      <w:r>
        <w:rPr>
          <w:rFonts w:cs="Tahoma"/>
          <w:highlight w:val="none"/>
          <w:lang w:eastAsia="zh-CN"/>
        </w:rPr>
        <w:t xml:space="preserve"> </w:t>
      </w:r>
      <w:r>
        <w:rPr>
          <w:rFonts w:hint="eastAsia" w:cs="Tahoma"/>
          <w:highlight w:val="none"/>
          <w:lang w:val="fr-FR"/>
        </w:rPr>
        <w:t>《固定式压力容器安全技术监察规程》</w:t>
      </w:r>
    </w:p>
    <w:p w14:paraId="61F96CAA">
      <w:pPr>
        <w:pStyle w:val="10"/>
        <w:numPr>
          <w:ilvl w:val="0"/>
          <w:numId w:val="1"/>
        </w:numPr>
        <w:tabs>
          <w:tab w:val="left" w:pos="960"/>
        </w:tabs>
        <w:ind w:left="480" w:firstLine="10"/>
        <w:rPr>
          <w:rFonts w:cs="Tahoma"/>
          <w:highlight w:val="none"/>
        </w:rPr>
      </w:pPr>
      <w:r>
        <w:rPr>
          <w:rFonts w:cs="Tahoma"/>
          <w:highlight w:val="none"/>
        </w:rPr>
        <w:t>TSG ZF00</w:t>
      </w:r>
      <w:r>
        <w:rPr>
          <w:rFonts w:cs="Tahoma"/>
          <w:highlight w:val="none"/>
          <w:lang w:eastAsia="zh-CN"/>
        </w:rPr>
        <w:t>1</w:t>
      </w:r>
      <w:r>
        <w:rPr>
          <w:rFonts w:cs="Tahoma"/>
          <w:highlight w:val="none"/>
        </w:rPr>
        <w:t>-2006</w:t>
      </w:r>
      <w:r>
        <w:rPr>
          <w:rFonts w:cs="Tahoma"/>
          <w:highlight w:val="none"/>
          <w:lang w:eastAsia="zh-CN"/>
        </w:rPr>
        <w:t xml:space="preserve"> </w:t>
      </w:r>
      <w:r>
        <w:rPr>
          <w:rFonts w:hint="eastAsia" w:cs="Tahoma"/>
          <w:highlight w:val="none"/>
          <w:lang w:val="fr-FR"/>
        </w:rPr>
        <w:t>《安全阀安全技术监察规程》</w:t>
      </w:r>
    </w:p>
    <w:p w14:paraId="38CAA613">
      <w:pPr>
        <w:pStyle w:val="10"/>
        <w:numPr>
          <w:ilvl w:val="0"/>
          <w:numId w:val="1"/>
        </w:numPr>
        <w:tabs>
          <w:tab w:val="left" w:pos="960"/>
        </w:tabs>
        <w:ind w:left="480" w:firstLine="10"/>
        <w:rPr>
          <w:rFonts w:cs="Tahoma"/>
          <w:highlight w:val="none"/>
        </w:rPr>
      </w:pPr>
      <w:r>
        <w:rPr>
          <w:rFonts w:cs="Tahoma"/>
          <w:highlight w:val="none"/>
        </w:rPr>
        <w:t>API 580</w:t>
      </w:r>
      <w:r>
        <w:rPr>
          <w:rFonts w:hint="eastAsia" w:cs="Tahoma"/>
          <w:highlight w:val="none"/>
          <w:lang w:val="fr-FR"/>
        </w:rPr>
        <w:t>《</w:t>
      </w:r>
      <w:r>
        <w:rPr>
          <w:rFonts w:cs="Tahoma"/>
          <w:highlight w:val="none"/>
        </w:rPr>
        <w:t>Risk-Based Inspection</w:t>
      </w:r>
      <w:r>
        <w:rPr>
          <w:rFonts w:hint="eastAsia" w:cs="Tahoma"/>
          <w:highlight w:val="none"/>
          <w:lang w:val="fr-FR"/>
        </w:rPr>
        <w:t>》</w:t>
      </w:r>
    </w:p>
    <w:p w14:paraId="51520B75">
      <w:pPr>
        <w:pStyle w:val="10"/>
        <w:numPr>
          <w:ilvl w:val="0"/>
          <w:numId w:val="1"/>
        </w:numPr>
        <w:tabs>
          <w:tab w:val="left" w:pos="960"/>
        </w:tabs>
        <w:ind w:left="480" w:firstLine="10"/>
        <w:rPr>
          <w:rFonts w:cs="Tahoma"/>
          <w:highlight w:val="none"/>
        </w:rPr>
      </w:pPr>
      <w:r>
        <w:rPr>
          <w:rFonts w:cs="Tahoma"/>
          <w:highlight w:val="none"/>
        </w:rPr>
        <w:t>API 581</w:t>
      </w:r>
      <w:r>
        <w:rPr>
          <w:rFonts w:hint="eastAsia" w:cs="Tahoma"/>
          <w:highlight w:val="none"/>
          <w:lang w:val="fr-FR"/>
        </w:rPr>
        <w:t>《</w:t>
      </w:r>
      <w:r>
        <w:rPr>
          <w:rFonts w:cs="Tahoma"/>
          <w:highlight w:val="none"/>
        </w:rPr>
        <w:t>Risk-Based Inspection Technology</w:t>
      </w:r>
      <w:r>
        <w:rPr>
          <w:rFonts w:hint="eastAsia" w:cs="Tahoma"/>
          <w:highlight w:val="none"/>
          <w:lang w:val="fr-FR"/>
        </w:rPr>
        <w:t>》</w:t>
      </w:r>
    </w:p>
    <w:p w14:paraId="538E5833">
      <w:pPr>
        <w:pStyle w:val="10"/>
        <w:numPr>
          <w:ilvl w:val="0"/>
          <w:numId w:val="1"/>
        </w:numPr>
        <w:tabs>
          <w:tab w:val="left" w:pos="960"/>
        </w:tabs>
        <w:ind w:left="480" w:firstLine="10"/>
        <w:rPr>
          <w:rFonts w:cs="Tahoma"/>
          <w:highlight w:val="none"/>
        </w:rPr>
      </w:pPr>
      <w:r>
        <w:rPr>
          <w:rFonts w:hint="eastAsia" w:cs="Tahoma"/>
          <w:highlight w:val="none"/>
        </w:rPr>
        <w:t>GB/T 26610.1-5 承压设备系统基于风险的检验系列标准</w:t>
      </w:r>
    </w:p>
    <w:p w14:paraId="16DA8E6C">
      <w:pPr>
        <w:pStyle w:val="10"/>
        <w:numPr>
          <w:ilvl w:val="0"/>
          <w:numId w:val="1"/>
        </w:numPr>
        <w:tabs>
          <w:tab w:val="left" w:pos="960"/>
        </w:tabs>
        <w:ind w:left="480" w:firstLine="10"/>
        <w:rPr>
          <w:rFonts w:cs="Tahoma"/>
          <w:highlight w:val="none"/>
        </w:rPr>
      </w:pPr>
      <w:r>
        <w:rPr>
          <w:rFonts w:hint="eastAsia" w:cs="Tahoma"/>
          <w:highlight w:val="none"/>
          <w:lang w:eastAsia="zh-CN"/>
        </w:rPr>
        <w:t>合肥通用院</w:t>
      </w:r>
      <w:r>
        <w:rPr>
          <w:rFonts w:hint="eastAsia" w:cs="Tahoma"/>
          <w:highlight w:val="none"/>
          <w:lang w:val="fr-FR"/>
        </w:rPr>
        <w:t>专利技术：承压设备风险评价中以剩余寿命为表征参量的失效概率评价方法，专利号为：</w:t>
      </w:r>
      <w:r>
        <w:rPr>
          <w:rFonts w:cs="Tahoma"/>
          <w:highlight w:val="none"/>
        </w:rPr>
        <w:t>200610039771.7</w:t>
      </w:r>
      <w:r>
        <w:rPr>
          <w:rFonts w:hint="eastAsia" w:cs="Tahoma"/>
          <w:highlight w:val="none"/>
          <w:lang w:eastAsia="zh-CN"/>
        </w:rPr>
        <w:t>；</w:t>
      </w:r>
    </w:p>
    <w:p w14:paraId="59967C4E">
      <w:pPr>
        <w:pStyle w:val="10"/>
        <w:numPr>
          <w:ilvl w:val="0"/>
          <w:numId w:val="1"/>
        </w:numPr>
        <w:tabs>
          <w:tab w:val="left" w:pos="960"/>
        </w:tabs>
        <w:ind w:left="480" w:firstLine="10"/>
        <w:rPr>
          <w:rFonts w:cs="Tahoma"/>
          <w:highlight w:val="none"/>
        </w:rPr>
      </w:pPr>
      <w:r>
        <w:rPr>
          <w:rFonts w:hint="eastAsia"/>
          <w:color w:val="000000"/>
          <w:highlight w:val="none"/>
          <w:lang w:val="fr-FR"/>
        </w:rPr>
        <w:t>装置设计、制造、安装、检验、运行记录等有关资料</w:t>
      </w:r>
      <w:r>
        <w:rPr>
          <w:rFonts w:hint="eastAsia"/>
          <w:color w:val="000000"/>
          <w:highlight w:val="none"/>
          <w:lang w:eastAsia="zh-CN"/>
        </w:rPr>
        <w:t>；</w:t>
      </w:r>
    </w:p>
    <w:p w14:paraId="7D2BA994">
      <w:pPr>
        <w:pStyle w:val="10"/>
        <w:numPr>
          <w:ilvl w:val="0"/>
          <w:numId w:val="1"/>
        </w:numPr>
        <w:tabs>
          <w:tab w:val="left" w:pos="960"/>
        </w:tabs>
        <w:ind w:left="480" w:firstLine="10"/>
        <w:rPr>
          <w:color w:val="000000"/>
          <w:highlight w:val="none"/>
        </w:rPr>
      </w:pPr>
      <w:r>
        <w:rPr>
          <w:rFonts w:hint="eastAsia"/>
          <w:color w:val="000000"/>
          <w:highlight w:val="none"/>
          <w:lang w:val="fr-FR"/>
        </w:rPr>
        <w:t>装置安全阀台账。</w:t>
      </w:r>
    </w:p>
    <w:bookmarkEnd w:id="13"/>
    <w:p w14:paraId="0F158C87">
      <w:pPr>
        <w:pStyle w:val="2"/>
        <w:tabs>
          <w:tab w:val="left" w:pos="340"/>
          <w:tab w:val="clear" w:pos="480"/>
        </w:tabs>
        <w:spacing w:before="230" w:beforeLines="0" w:after="230" w:afterLines="0"/>
        <w:rPr>
          <w:color w:val="000000"/>
          <w:kern w:val="2"/>
          <w:sz w:val="28"/>
          <w:highlight w:val="none"/>
        </w:rPr>
      </w:pPr>
      <w:bookmarkStart w:id="14" w:name="_Toc185152201"/>
      <w:r>
        <w:rPr>
          <w:rFonts w:hint="eastAsia"/>
          <w:color w:val="000000"/>
          <w:kern w:val="2"/>
          <w:sz w:val="28"/>
          <w:highlight w:val="none"/>
        </w:rPr>
        <w:t>4</w:t>
      </w:r>
      <w:r>
        <w:rPr>
          <w:color w:val="000000"/>
          <w:kern w:val="2"/>
          <w:sz w:val="28"/>
          <w:highlight w:val="none"/>
        </w:rPr>
        <w:t>.</w:t>
      </w:r>
      <w:r>
        <w:rPr>
          <w:color w:val="000000"/>
          <w:kern w:val="2"/>
          <w:sz w:val="28"/>
          <w:highlight w:val="none"/>
        </w:rPr>
        <w:tab/>
      </w:r>
      <w:r>
        <w:rPr>
          <w:rFonts w:hint="eastAsia"/>
          <w:color w:val="000000"/>
          <w:kern w:val="2"/>
          <w:sz w:val="28"/>
          <w:highlight w:val="none"/>
        </w:rPr>
        <w:t>安全阀的RBI评估</w:t>
      </w:r>
      <w:bookmarkEnd w:id="14"/>
    </w:p>
    <w:p w14:paraId="48BCD0F6">
      <w:pPr>
        <w:pStyle w:val="3"/>
        <w:spacing w:before="115" w:beforeLines="25" w:after="115" w:afterLines="25"/>
        <w:rPr>
          <w:highlight w:val="none"/>
        </w:rPr>
      </w:pPr>
      <w:bookmarkStart w:id="15" w:name="_Toc185152202"/>
      <w:bookmarkStart w:id="16" w:name="_Toc287952889"/>
      <w:bookmarkStart w:id="17" w:name="_Toc401297815"/>
      <w:bookmarkStart w:id="18" w:name="_Toc384026320"/>
      <w:r>
        <w:rPr>
          <w:highlight w:val="none"/>
        </w:rPr>
        <w:t>4.1</w:t>
      </w:r>
      <w:r>
        <w:rPr>
          <w:rFonts w:hint="eastAsia"/>
          <w:highlight w:val="none"/>
        </w:rPr>
        <w:t xml:space="preserve"> 安全阀失效模式</w:t>
      </w:r>
      <w:r>
        <w:rPr>
          <w:highlight w:val="none"/>
        </w:rPr>
        <w:t>分析</w:t>
      </w:r>
      <w:bookmarkEnd w:id="15"/>
    </w:p>
    <w:p w14:paraId="0EA956DF">
      <w:pPr>
        <w:ind w:firstLine="480" w:firstLineChars="200"/>
        <w:rPr>
          <w:highlight w:val="none"/>
        </w:rPr>
      </w:pPr>
      <w:r>
        <w:rPr>
          <w:rFonts w:hint="eastAsia"/>
          <w:highlight w:val="none"/>
        </w:rPr>
        <w:t>安全阀作为承压设备的超压保护装置，在使用中必须满足准确开启、稳定排放、及时关闭、密封可靠的要求。安全阀在使用过程中，除安全阀频跳是由于安全阀进口管路过长、管路存在节流物或安全阀调节圈调整不当引起的外，介质温度、压力、物性对安全阀的准确开启、及时关闭、可靠密封产生影响，造成安全阀使用一段时间后性能达不到要求，导致安全阀失效。</w:t>
      </w:r>
    </w:p>
    <w:p w14:paraId="117652E6">
      <w:pPr>
        <w:ind w:firstLine="480" w:firstLineChars="200"/>
        <w:rPr>
          <w:highlight w:val="none"/>
        </w:rPr>
      </w:pPr>
      <w:r>
        <w:rPr>
          <w:rFonts w:hint="eastAsia"/>
          <w:highlight w:val="none"/>
        </w:rPr>
        <w:t>从安全阀开启准确性方面来看，安全阀在使用中，存在着三种可能的失效模式：</w:t>
      </w:r>
    </w:p>
    <w:p w14:paraId="035709A4">
      <w:pPr>
        <w:ind w:firstLine="480" w:firstLineChars="200"/>
        <w:rPr>
          <w:highlight w:val="none"/>
        </w:rPr>
      </w:pPr>
      <w:r>
        <w:rPr>
          <w:rFonts w:hint="eastAsia"/>
          <w:highlight w:val="none"/>
        </w:rPr>
        <w:t>（1）安全阀由于运动件粘死，或进出腔堵塞无法开启；</w:t>
      </w:r>
    </w:p>
    <w:p w14:paraId="3D198204">
      <w:pPr>
        <w:ind w:firstLine="480" w:firstLineChars="200"/>
        <w:rPr>
          <w:highlight w:val="none"/>
        </w:rPr>
      </w:pPr>
      <w:r>
        <w:rPr>
          <w:rFonts w:hint="eastAsia"/>
          <w:highlight w:val="none"/>
        </w:rPr>
        <w:t>（2）安全阀超压开启——介质压力达到安全阀整定压力而安全阀未开启，超过整定压力一定值后才开启；</w:t>
      </w:r>
    </w:p>
    <w:p w14:paraId="169D9817">
      <w:pPr>
        <w:ind w:left="480" w:leftChars="200"/>
        <w:rPr>
          <w:highlight w:val="none"/>
        </w:rPr>
      </w:pPr>
      <w:r>
        <w:rPr>
          <w:rFonts w:hint="eastAsia"/>
          <w:highlight w:val="none"/>
        </w:rPr>
        <w:t>（3）安全阀提前开启——安全阀开启压力低于整定压力。</w:t>
      </w:r>
    </w:p>
    <w:p w14:paraId="36E06C85">
      <w:pPr>
        <w:rPr>
          <w:highlight w:val="none"/>
        </w:rPr>
      </w:pPr>
      <w:r>
        <w:rPr>
          <w:rFonts w:hint="eastAsia"/>
          <w:highlight w:val="none"/>
        </w:rPr>
        <w:t xml:space="preserve">    从安全阀稳定排放方面来看，对于前后配管不合适，或安全阀调节圈调整有误的安全阀存在着动作时频跳这种失效模式。</w:t>
      </w:r>
    </w:p>
    <w:p w14:paraId="5AAFECB4">
      <w:pPr>
        <w:ind w:firstLine="480" w:firstLineChars="200"/>
        <w:rPr>
          <w:highlight w:val="none"/>
        </w:rPr>
      </w:pPr>
      <w:r>
        <w:rPr>
          <w:rFonts w:hint="eastAsia"/>
          <w:highlight w:val="none"/>
        </w:rPr>
        <w:t>从安全阀动作后及时关闭性能来看，安全阀存在着弹簧断裂，不能回座这一失效模式。</w:t>
      </w:r>
    </w:p>
    <w:p w14:paraId="2A188CAF">
      <w:pPr>
        <w:rPr>
          <w:highlight w:val="none"/>
        </w:rPr>
      </w:pPr>
      <w:r>
        <w:rPr>
          <w:rFonts w:hint="eastAsia"/>
          <w:highlight w:val="none"/>
        </w:rPr>
        <w:t xml:space="preserve">    从安全阀可靠密封性能来看，安全阀在使用中存在着泄漏这一失效模式。</w:t>
      </w:r>
    </w:p>
    <w:p w14:paraId="0AD9E082">
      <w:pPr>
        <w:rPr>
          <w:highlight w:val="none"/>
        </w:rPr>
      </w:pPr>
      <w:r>
        <w:rPr>
          <w:rFonts w:hint="eastAsia"/>
          <w:highlight w:val="none"/>
        </w:rPr>
        <w:t xml:space="preserve">    可把上述安全阀在使用中可能的失效模式简化为6种形式：</w:t>
      </w:r>
    </w:p>
    <w:p w14:paraId="638680EA">
      <w:pPr>
        <w:rPr>
          <w:highlight w:val="none"/>
        </w:rPr>
      </w:pPr>
      <w:r>
        <w:rPr>
          <w:rFonts w:hint="eastAsia"/>
          <w:highlight w:val="none"/>
        </w:rPr>
        <w:t xml:space="preserve">    （1）安全阀粘死、堵塞不能开启；</w:t>
      </w:r>
    </w:p>
    <w:p w14:paraId="3A0C78DC">
      <w:pPr>
        <w:rPr>
          <w:highlight w:val="none"/>
        </w:rPr>
      </w:pPr>
      <w:r>
        <w:rPr>
          <w:rFonts w:hint="eastAsia"/>
          <w:highlight w:val="none"/>
        </w:rPr>
        <w:t xml:space="preserve">    （2）安全阀超压开启；</w:t>
      </w:r>
    </w:p>
    <w:p w14:paraId="0B856053">
      <w:pPr>
        <w:rPr>
          <w:highlight w:val="none"/>
        </w:rPr>
      </w:pPr>
      <w:r>
        <w:rPr>
          <w:rFonts w:hint="eastAsia"/>
          <w:highlight w:val="none"/>
        </w:rPr>
        <w:t xml:space="preserve">    （3）安全阀提前开启；</w:t>
      </w:r>
    </w:p>
    <w:p w14:paraId="16CCFFCF">
      <w:pPr>
        <w:rPr>
          <w:highlight w:val="none"/>
        </w:rPr>
      </w:pPr>
      <w:r>
        <w:rPr>
          <w:rFonts w:hint="eastAsia"/>
          <w:highlight w:val="none"/>
        </w:rPr>
        <w:t xml:space="preserve">    （4）安全阀启跳后弹簧断裂无法关闭；</w:t>
      </w:r>
    </w:p>
    <w:p w14:paraId="517E6FC1">
      <w:pPr>
        <w:rPr>
          <w:highlight w:val="none"/>
        </w:rPr>
      </w:pPr>
      <w:r>
        <w:rPr>
          <w:rFonts w:hint="eastAsia"/>
          <w:highlight w:val="none"/>
        </w:rPr>
        <w:t xml:space="preserve">    （5）安全阀泄漏；</w:t>
      </w:r>
    </w:p>
    <w:p w14:paraId="7A922ADB">
      <w:pPr>
        <w:rPr>
          <w:highlight w:val="none"/>
        </w:rPr>
      </w:pPr>
      <w:r>
        <w:rPr>
          <w:rFonts w:hint="eastAsia"/>
          <w:highlight w:val="none"/>
        </w:rPr>
        <w:t xml:space="preserve">    （6）安全阀排放时频跳不稳定。</w:t>
      </w:r>
    </w:p>
    <w:p w14:paraId="54831B67">
      <w:pPr>
        <w:ind w:firstLine="480" w:firstLineChars="200"/>
        <w:rPr>
          <w:bCs/>
          <w:color w:val="000000"/>
          <w:highlight w:val="none"/>
        </w:rPr>
      </w:pPr>
      <w:r>
        <w:rPr>
          <w:rFonts w:hint="eastAsia"/>
          <w:bCs/>
          <w:color w:val="000000"/>
          <w:highlight w:val="none"/>
        </w:rPr>
        <w:t>石化企业生产装置多，介质参数广（介质压力从低压到高压，温度从低温到常温再到1000多度高温），介质物性差异大（有腐蚀介质、非腐蚀介质；有环境温度下可自流介质，也有不可自流介质；有环境温度下易结晶、结焦、含杂质介质，也有洁净介质）。</w:t>
      </w:r>
    </w:p>
    <w:p w14:paraId="44BF2465">
      <w:pPr>
        <w:pStyle w:val="3"/>
        <w:spacing w:before="230" w:after="230"/>
        <w:rPr>
          <w:b/>
          <w:szCs w:val="28"/>
          <w:highlight w:val="none"/>
        </w:rPr>
      </w:pPr>
      <w:bookmarkStart w:id="19" w:name="_Toc185152203"/>
      <w:r>
        <w:rPr>
          <w:rFonts w:hint="eastAsia"/>
          <w:highlight w:val="none"/>
        </w:rPr>
        <w:t>4.</w:t>
      </w:r>
      <w:r>
        <w:rPr>
          <w:highlight w:val="none"/>
        </w:rPr>
        <w:t>2</w:t>
      </w:r>
      <w:r>
        <w:rPr>
          <w:rFonts w:hint="eastAsia"/>
          <w:highlight w:val="none"/>
        </w:rPr>
        <w:t xml:space="preserve"> 安全阀失效可能性确定</w:t>
      </w:r>
      <w:bookmarkEnd w:id="16"/>
      <w:bookmarkEnd w:id="17"/>
      <w:bookmarkEnd w:id="18"/>
      <w:bookmarkEnd w:id="19"/>
    </w:p>
    <w:p w14:paraId="73E418B2">
      <w:pPr>
        <w:ind w:firstLine="480" w:firstLineChars="200"/>
        <w:rPr>
          <w:bCs/>
          <w:color w:val="000000"/>
          <w:highlight w:val="none"/>
        </w:rPr>
      </w:pPr>
      <w:r>
        <w:rPr>
          <w:rFonts w:hint="eastAsia"/>
          <w:bCs/>
          <w:color w:val="000000"/>
          <w:highlight w:val="none"/>
        </w:rPr>
        <w:t>根据石化企业在役安全阀的运行性能分析和失效案例统计，安全阀失效涉及诸多复杂因素，它的可靠度指标对装置稳定运行有很重要的影响。对于安全阀评价单元的失效可能性，以安全阀中弹簧的失效、安全阀的操作条件、履历和管理水平4个指标来评价安全阀的失效可能性。其中安全阀弹簧失效是根据不同类型的安全阀型式在大型石化企业失效的统计，进行整理分析而得到的概率值；安全阀的操作条件包括操作压力、操作温度、介质的腐蚀性、粘度、清洁程度等子因素；履历包括运行历史、校验情况等子因素；管理水平因素的分级采取</w:t>
      </w:r>
      <w:r>
        <w:rPr>
          <w:bCs/>
          <w:color w:val="000000"/>
          <w:highlight w:val="none"/>
        </w:rPr>
        <w:t>GB/T26610.4-20</w:t>
      </w:r>
      <w:r>
        <w:rPr>
          <w:rFonts w:hint="eastAsia"/>
          <w:bCs/>
          <w:color w:val="000000"/>
          <w:highlight w:val="none"/>
        </w:rPr>
        <w:t>22对各个管理指标打分的方法综合确定。</w:t>
      </w:r>
    </w:p>
    <w:p w14:paraId="109454FC">
      <w:pPr>
        <w:pStyle w:val="3"/>
        <w:spacing w:before="230" w:after="230"/>
        <w:rPr>
          <w:b/>
          <w:szCs w:val="28"/>
          <w:highlight w:val="none"/>
        </w:rPr>
      </w:pPr>
      <w:bookmarkStart w:id="20" w:name="_Toc185152204"/>
      <w:bookmarkStart w:id="21" w:name="_Toc401297816"/>
      <w:bookmarkStart w:id="22" w:name="_Toc384026321"/>
      <w:r>
        <w:rPr>
          <w:rFonts w:hint="eastAsia"/>
          <w:highlight w:val="none"/>
        </w:rPr>
        <w:t>4.3 安全阀失效后果确定</w:t>
      </w:r>
      <w:bookmarkEnd w:id="20"/>
      <w:bookmarkEnd w:id="21"/>
      <w:bookmarkEnd w:id="22"/>
    </w:p>
    <w:p w14:paraId="258D05D0">
      <w:pPr>
        <w:ind w:firstLine="480" w:firstLineChars="200"/>
        <w:rPr>
          <w:bCs/>
          <w:color w:val="000000"/>
          <w:highlight w:val="none"/>
        </w:rPr>
      </w:pPr>
      <w:r>
        <w:rPr>
          <w:rFonts w:hint="eastAsia"/>
          <w:bCs/>
          <w:color w:val="000000"/>
          <w:highlight w:val="none"/>
        </w:rPr>
        <w:t>在失效后果方面主要考虑操作介质的特性以及泄放量和泄放速率等参数，以与其相连的压力容器或压力管道周围的破坏影响面积为指标来确定后果。</w:t>
      </w:r>
    </w:p>
    <w:p w14:paraId="2E24D43B">
      <w:pPr>
        <w:ind w:firstLine="480" w:firstLineChars="200"/>
        <w:rPr>
          <w:bCs/>
          <w:color w:val="000000"/>
          <w:highlight w:val="none"/>
        </w:rPr>
      </w:pPr>
      <w:r>
        <w:rPr>
          <w:rFonts w:hint="eastAsia"/>
          <w:bCs/>
          <w:color w:val="000000"/>
          <w:highlight w:val="none"/>
        </w:rPr>
        <w:t>根据风险的定义，风险是由失效可能性和失效后果两部分组成的，安全阀的风险等级可以通过风险矩阵进行表征。风险矩阵图中的纵坐标1～5表示失效可能性从低到高的5个等级，横坐标A～E表示失效后果从低到高的5个等级。</w:t>
      </w:r>
    </w:p>
    <w:p w14:paraId="55EEA2D7">
      <w:pPr>
        <w:pStyle w:val="3"/>
        <w:spacing w:before="230" w:after="230"/>
        <w:rPr>
          <w:highlight w:val="none"/>
        </w:rPr>
      </w:pPr>
      <w:bookmarkStart w:id="23" w:name="_Toc287952890"/>
      <w:bookmarkStart w:id="24" w:name="_Toc401297817"/>
      <w:bookmarkStart w:id="25" w:name="_Toc185152205"/>
      <w:bookmarkStart w:id="26" w:name="_Toc384026322"/>
      <w:r>
        <w:rPr>
          <w:rFonts w:hint="eastAsia"/>
          <w:highlight w:val="none"/>
        </w:rPr>
        <w:t>4.</w:t>
      </w:r>
      <w:r>
        <w:rPr>
          <w:highlight w:val="none"/>
        </w:rPr>
        <w:t xml:space="preserve">4 </w:t>
      </w:r>
      <w:r>
        <w:rPr>
          <w:rFonts w:hint="eastAsia"/>
          <w:highlight w:val="none"/>
        </w:rPr>
        <w:t>安全阀校验周期确定</w:t>
      </w:r>
      <w:bookmarkEnd w:id="23"/>
      <w:r>
        <w:rPr>
          <w:rFonts w:hint="eastAsia"/>
          <w:highlight w:val="none"/>
        </w:rPr>
        <w:t>原则</w:t>
      </w:r>
      <w:bookmarkEnd w:id="24"/>
      <w:bookmarkEnd w:id="25"/>
      <w:bookmarkEnd w:id="26"/>
    </w:p>
    <w:p w14:paraId="3EE9EFEB">
      <w:pPr>
        <w:ind w:firstLine="480" w:firstLineChars="200"/>
        <w:rPr>
          <w:bCs/>
          <w:color w:val="000000"/>
          <w:highlight w:val="none"/>
        </w:rPr>
      </w:pPr>
      <w:r>
        <w:rPr>
          <w:rFonts w:hint="eastAsia"/>
          <w:bCs/>
          <w:color w:val="000000"/>
          <w:highlight w:val="none"/>
        </w:rPr>
        <w:t>安全阀是防止压力容器和管道在生产过程中发生超压事故的安全泄压装置。在石化企业生产过程中，广泛地使用着各种类型的安全阀。其中弹簧直接载荷式安全阀使用最为普遍。根据《固定式压力容器安全技术监察规程》、《安全阀安全技术监察规程》的规定，对满足相关条件的安全阀可适当延期校验。企业为了适应现代生产的需要，要求压力容器长期稳定运行。为保证企业安全快速的发展，我们提出对于在役安全阀装置进行RBI风险评价，根据风险的高低，对安全阀进行合理分类，按照风险等级确定其校验周期:对于风险高的重点检查，校验周期短。风险低的安全阀采取适当延长其停机校验周期的检验策略。</w:t>
      </w:r>
    </w:p>
    <w:p w14:paraId="2FA5CDBC">
      <w:pPr>
        <w:ind w:firstLine="480" w:firstLineChars="200"/>
        <w:rPr>
          <w:bCs/>
          <w:color w:val="000000"/>
          <w:highlight w:val="none"/>
        </w:rPr>
      </w:pPr>
      <w:r>
        <w:rPr>
          <w:rFonts w:hint="eastAsia"/>
          <w:bCs/>
          <w:color w:val="000000"/>
          <w:highlight w:val="none"/>
        </w:rPr>
        <w:t>从弹簧安全阀失效原因可以看出安全阀的质量、维修和校验是导致安全阀失效的重要原因；风险评估主要考虑的是安全阀在运行过程中服役环境对安全阀可能产生的风险，不包括安全阀设计、制造、安装过程中可能存在的风险。安全阀的失效还同使用、维修和校验有关，即同安全阀的材料是否合理、安装位置是否合适、维修方式是否恰当、零件更换是否进行、压力调校是否准确有关。大连西太拥有多年运行经验，这些因素都是可以控制的，在此不再把它们作为考虑因素。</w:t>
      </w:r>
    </w:p>
    <w:p w14:paraId="06D26417">
      <w:pPr>
        <w:autoSpaceDE w:val="0"/>
        <w:autoSpaceDN w:val="0"/>
        <w:adjustRightInd w:val="0"/>
        <w:snapToGrid w:val="0"/>
        <w:spacing w:before="120" w:after="120" w:line="360" w:lineRule="auto"/>
        <w:ind w:firstLine="480" w:firstLineChars="200"/>
        <w:rPr>
          <w:rFonts w:hint="eastAsia" w:ascii="宋体" w:hAnsi="宋体"/>
          <w:highlight w:val="none"/>
        </w:rPr>
      </w:pPr>
      <w:r>
        <w:rPr>
          <w:rFonts w:hint="eastAsia" w:ascii="宋体" w:hAnsi="宋体"/>
          <w:highlight w:val="none"/>
        </w:rPr>
        <w:t>在本次评估中，设置了自上次校验后1</w:t>
      </w:r>
      <w:r>
        <w:rPr>
          <w:rFonts w:ascii="宋体" w:hAnsi="宋体"/>
          <w:highlight w:val="none"/>
        </w:rPr>
        <w:t>-5</w:t>
      </w:r>
      <w:r>
        <w:rPr>
          <w:rFonts w:hint="eastAsia" w:ascii="宋体" w:hAnsi="宋体"/>
          <w:highlight w:val="none"/>
        </w:rPr>
        <w:t>年五个评估时间点进行评估，被评估的安全阀都应在达到所评估的校验时间点之前进行校验，</w:t>
      </w:r>
      <w:r>
        <w:rPr>
          <w:rFonts w:hint="eastAsia" w:ascii="宋体" w:hAnsi="宋体"/>
          <w:b/>
          <w:bCs/>
          <w:highlight w:val="none"/>
        </w:rPr>
        <w:t>但是对于经现场检查存在异常的安全阀，应缩短校验时间，必要时立即校验</w:t>
      </w:r>
      <w:r>
        <w:rPr>
          <w:rFonts w:hint="eastAsia" w:ascii="宋体" w:hAnsi="宋体"/>
          <w:highlight w:val="none"/>
        </w:rPr>
        <w:t>。考虑到安全阀的风险随着累计投用时间和校验历史的变化性，本次评估结论有效期为各安全阀校验时间点之前。在有效期内，如果对安全阀进行了校验，其风险水平会有所变化，应重新进行评估。</w:t>
      </w:r>
    </w:p>
    <w:p w14:paraId="50568213">
      <w:pPr>
        <w:pStyle w:val="2"/>
        <w:spacing w:before="230" w:after="230"/>
        <w:rPr>
          <w:highlight w:val="none"/>
        </w:rPr>
      </w:pPr>
      <w:bookmarkStart w:id="27" w:name="_Toc185152206"/>
      <w:r>
        <w:rPr>
          <w:rFonts w:hint="eastAsia"/>
          <w:highlight w:val="none"/>
        </w:rPr>
        <w:t xml:space="preserve">5. </w:t>
      </w:r>
      <w:bookmarkStart w:id="28" w:name="OLE_LINK2"/>
      <w:bookmarkStart w:id="29" w:name="OLE_LINK1"/>
      <w:r>
        <w:rPr>
          <w:rFonts w:hint="eastAsia"/>
          <w:highlight w:val="none"/>
        </w:rPr>
        <w:t>装置概况</w:t>
      </w:r>
      <w:bookmarkEnd w:id="27"/>
    </w:p>
    <w:bookmarkEnd w:id="28"/>
    <w:bookmarkEnd w:id="29"/>
    <w:p w14:paraId="21C8E3D4">
      <w:pPr>
        <w:ind w:firstLine="420"/>
        <w:rPr>
          <w:highlight w:val="none"/>
        </w:rPr>
      </w:pPr>
      <w:bookmarkStart w:id="30" w:name="_Toc98261453"/>
      <w:r>
        <w:rPr>
          <w:rFonts w:hint="eastAsia"/>
          <w:highlight w:val="none"/>
        </w:rPr>
        <w:t>大连西太平洋石油化工有限公司原油加工能力1000万吨/年，占地面积2.5平方公里。公司成立于1990年11月，1992年动工建设，1996年投料试车，1997年底全面投产。</w:t>
      </w:r>
    </w:p>
    <w:p w14:paraId="32D8F616">
      <w:pPr>
        <w:ind w:firstLine="420"/>
        <w:rPr>
          <w:highlight w:val="none"/>
        </w:rPr>
      </w:pPr>
      <w:r>
        <w:rPr>
          <w:rFonts w:hint="eastAsia"/>
          <w:highlight w:val="none"/>
        </w:rPr>
        <w:t>储运部是大连西太公司负责原料进厂和产品输出的单位，并且配合各生产装置生产运行的原料供应及产品接收，由大庆石化设计院总体设计，现有29个罐区，各类储罐158台，总设计罐容146.06×10</w:t>
      </w:r>
      <w:r>
        <w:rPr>
          <w:rFonts w:hint="eastAsia"/>
          <w:highlight w:val="none"/>
          <w:vertAlign w:val="superscript"/>
        </w:rPr>
        <w:t>4</w:t>
      </w:r>
      <w:r>
        <w:rPr>
          <w:rFonts w:hint="eastAsia"/>
          <w:highlight w:val="none"/>
        </w:rPr>
        <w:t>m</w:t>
      </w:r>
      <w:r>
        <w:rPr>
          <w:rFonts w:hint="eastAsia"/>
          <w:highlight w:val="none"/>
          <w:vertAlign w:val="superscript"/>
        </w:rPr>
        <w:t>3</w:t>
      </w:r>
      <w:r>
        <w:rPr>
          <w:rFonts w:hint="eastAsia"/>
          <w:highlight w:val="none"/>
        </w:rPr>
        <w:t>；各类转动设备289台；两座火炬；一套由3台压缩机和1座20000m</w:t>
      </w:r>
      <w:r>
        <w:rPr>
          <w:rFonts w:hint="eastAsia"/>
          <w:highlight w:val="none"/>
          <w:vertAlign w:val="superscript"/>
        </w:rPr>
        <w:t>3</w:t>
      </w:r>
      <w:r>
        <w:rPr>
          <w:rFonts w:hint="eastAsia"/>
          <w:highlight w:val="none"/>
        </w:rPr>
        <w:t>干式气柜组成的低压瓦斯回收系统。</w:t>
      </w:r>
    </w:p>
    <w:p w14:paraId="48657B10">
      <w:pPr>
        <w:ind w:firstLine="420"/>
        <w:rPr>
          <w:highlight w:val="none"/>
        </w:rPr>
      </w:pPr>
      <w:r>
        <w:rPr>
          <w:rFonts w:hint="eastAsia"/>
          <w:highlight w:val="none"/>
        </w:rPr>
        <w:t>储运部负责全厂装置原料、半成品、成品的储存输转作业，具体包括：</w:t>
      </w:r>
    </w:p>
    <w:p w14:paraId="782F032E">
      <w:pPr>
        <w:ind w:firstLine="420"/>
        <w:rPr>
          <w:highlight w:val="none"/>
        </w:rPr>
      </w:pPr>
      <w:r>
        <w:rPr>
          <w:rFonts w:hint="eastAsia"/>
          <w:highlight w:val="none"/>
        </w:rPr>
        <w:t>1）负责常减压等14套装置的原料供给、中间产品、半成品的接收作业；</w:t>
      </w:r>
    </w:p>
    <w:p w14:paraId="3E99EAE8">
      <w:pPr>
        <w:ind w:firstLine="420"/>
        <w:rPr>
          <w:highlight w:val="none"/>
        </w:rPr>
      </w:pPr>
      <w:r>
        <w:rPr>
          <w:rFonts w:hint="eastAsia"/>
          <w:highlight w:val="none"/>
        </w:rPr>
        <w:t>2）负责成品的调和、出厂装车、装船作业；</w:t>
      </w:r>
    </w:p>
    <w:p w14:paraId="31D58F0A">
      <w:pPr>
        <w:ind w:firstLine="420"/>
        <w:rPr>
          <w:highlight w:val="none"/>
        </w:rPr>
      </w:pPr>
      <w:r>
        <w:rPr>
          <w:rFonts w:hint="eastAsia"/>
          <w:highlight w:val="none"/>
        </w:rPr>
        <w:t>3）负责燃料气及火炬系统、低压瓦斯回收系统的调节作业；</w:t>
      </w:r>
    </w:p>
    <w:p w14:paraId="6050AC67">
      <w:pPr>
        <w:ind w:firstLine="420"/>
        <w:rPr>
          <w:rFonts w:hint="eastAsia" w:eastAsia="宋体"/>
          <w:highlight w:val="none"/>
          <w:lang w:eastAsia="zh-CN"/>
        </w:rPr>
      </w:pPr>
      <w:r>
        <w:rPr>
          <w:rFonts w:hint="eastAsia"/>
          <w:highlight w:val="none"/>
        </w:rPr>
        <w:t>4）负责化学药剂的进、出厂作业</w:t>
      </w:r>
      <w:r>
        <w:rPr>
          <w:rFonts w:hint="eastAsia"/>
          <w:highlight w:val="none"/>
          <w:lang w:eastAsia="zh-CN"/>
        </w:rPr>
        <w:t>。</w:t>
      </w:r>
    </w:p>
    <w:p w14:paraId="75BC030B">
      <w:pPr>
        <w:ind w:firstLine="420"/>
        <w:rPr>
          <w:rFonts w:hint="eastAsia"/>
          <w:highlight w:val="none"/>
        </w:rPr>
      </w:pPr>
      <w:r>
        <w:rPr>
          <w:rFonts w:hint="eastAsia"/>
          <w:highlight w:val="none"/>
        </w:rPr>
        <w:t>常压渣油加氢脱硫装置（简称ARDS）占地3.75公顷,由中国石化北京设计院负责总体设计，由中国石化第十建设公司负责施工、安装，1993年4月开工建设，1996年10月装置竣工。ARDS装置设计加工沙特阿拉伯轻质和重质常压渣油，及其减压瓦斯油和减压渣油混合料，设计处理量200万吨/年。实际加工原料比较复杂，以中东各国高硫油为主。装置经过2004年3月扩能改造，及2006年反应进料泵升级改造，年加工能力可达220万吨/年。ARDS装置主要产品为下游重油催化裂化装置（FCC）提供优质的低硫原料，还有少量的柴油、煤油、石脑油、干气、富氢等副产品。装置按其工艺来划分可分为原料部分、反应部分、分馏部分、脱硫部分和富氢回收等五大部分。原料反应部分的关键技术从美国Unocal公司引进，反应催化剂先后选用了Unocal开发，阿克苏生产的RF-220脱金属催化剂及RF-1000脱硫催化剂、抚研院开发的FZC系列脱金属脱硫催化剂、ART公司开发的ICR系列脱金属脱硫催化剂、雅保公司（原阿克苏）生产的KFR系列脱金属脱硫催化剂、标准公司生产的RM/RN系列脱金属脱硫催化剂、中石油石油化工研究院生产的PHR系列催化剂。</w:t>
      </w:r>
    </w:p>
    <w:p w14:paraId="68DD346B">
      <w:pPr>
        <w:ind w:firstLine="420"/>
        <w:rPr>
          <w:highlight w:val="none"/>
        </w:rPr>
      </w:pPr>
      <w:r>
        <w:rPr>
          <w:rFonts w:hint="eastAsia"/>
          <w:highlight w:val="none"/>
        </w:rPr>
        <w:t>动力部组建于2003年6月，由原水厂</w:t>
      </w:r>
      <w:r>
        <w:rPr>
          <w:rFonts w:hint="eastAsia"/>
          <w:highlight w:val="none"/>
          <w:lang w:val="en-US" w:eastAsia="zh-CN"/>
        </w:rPr>
        <w:t>-</w:t>
      </w:r>
      <w:r>
        <w:rPr>
          <w:rFonts w:hint="eastAsia"/>
          <w:highlight w:val="none"/>
        </w:rPr>
        <w:t>空分联合装置、热电场合并成立的，担负着公司的供水、排水、污水处理、海水监测、供风、供氮、供汽、供脱盐水、供除氧水、供燃料油及凝结水回收任务。主要设备包括：一座30000m</w:t>
      </w:r>
      <w:r>
        <w:rPr>
          <w:rFonts w:hint="eastAsia"/>
          <w:highlight w:val="none"/>
          <w:vertAlign w:val="superscript"/>
        </w:rPr>
        <w:t>3</w:t>
      </w:r>
      <w:r>
        <w:rPr>
          <w:rFonts w:hint="eastAsia"/>
          <w:highlight w:val="none"/>
        </w:rPr>
        <w:t>/h海水取水泵站，9500m</w:t>
      </w:r>
      <w:r>
        <w:rPr>
          <w:rFonts w:hint="eastAsia"/>
          <w:highlight w:val="none"/>
          <w:vertAlign w:val="superscript"/>
        </w:rPr>
        <w:t>3</w:t>
      </w:r>
      <w:r>
        <w:rPr>
          <w:rFonts w:hint="eastAsia"/>
          <w:highlight w:val="none"/>
        </w:rPr>
        <w:t>/h的第一循环水场，20000m</w:t>
      </w:r>
      <w:r>
        <w:rPr>
          <w:rFonts w:hint="eastAsia"/>
          <w:highlight w:val="none"/>
          <w:vertAlign w:val="superscript"/>
        </w:rPr>
        <w:t>3</w:t>
      </w:r>
      <w:r>
        <w:rPr>
          <w:rFonts w:hint="eastAsia"/>
          <w:highlight w:val="none"/>
        </w:rPr>
        <w:t>/h的第二循环水场，1200m</w:t>
      </w:r>
      <w:r>
        <w:rPr>
          <w:rFonts w:hint="eastAsia"/>
          <w:highlight w:val="none"/>
          <w:vertAlign w:val="superscript"/>
        </w:rPr>
        <w:t>3</w:t>
      </w:r>
      <w:r>
        <w:rPr>
          <w:rFonts w:hint="eastAsia"/>
          <w:highlight w:val="none"/>
        </w:rPr>
        <w:t>/h的淡水泵站，650m</w:t>
      </w:r>
      <w:r>
        <w:rPr>
          <w:rFonts w:hint="eastAsia"/>
          <w:highlight w:val="none"/>
          <w:vertAlign w:val="superscript"/>
        </w:rPr>
        <w:t>3</w:t>
      </w:r>
      <w:r>
        <w:rPr>
          <w:rFonts w:hint="eastAsia"/>
          <w:highlight w:val="none"/>
        </w:rPr>
        <w:t>/h处理能力的污水处理场，350m</w:t>
      </w:r>
      <w:r>
        <w:rPr>
          <w:rFonts w:hint="eastAsia"/>
          <w:highlight w:val="none"/>
          <w:vertAlign w:val="superscript"/>
        </w:rPr>
        <w:t>3</w:t>
      </w:r>
      <w:r>
        <w:rPr>
          <w:rFonts w:hint="eastAsia"/>
          <w:highlight w:val="none"/>
        </w:rPr>
        <w:t>/h污水深度处理回用装置，一座供风能力48000m</w:t>
      </w:r>
      <w:r>
        <w:rPr>
          <w:rFonts w:hint="eastAsia"/>
          <w:highlight w:val="none"/>
          <w:vertAlign w:val="superscript"/>
        </w:rPr>
        <w:t>3</w:t>
      </w:r>
      <w:r>
        <w:rPr>
          <w:rFonts w:hint="eastAsia"/>
          <w:highlight w:val="none"/>
        </w:rPr>
        <w:t>/h的空压站，两套KDY-4500/700Y型制氮设备，一套QYN-460-11/9型液氮储存汽化输送系统，三台130T/h油气混烧锅炉，一台12MW凝气式汽轮发电机组，两台6MW背压汽轮发电机组，一套800T/h脱盐水站，八台主变压器的总变电所。</w:t>
      </w:r>
    </w:p>
    <w:p w14:paraId="0930D925">
      <w:pPr>
        <w:pStyle w:val="3"/>
        <w:spacing w:before="115" w:beforeLines="25" w:after="115" w:afterLines="25"/>
        <w:rPr>
          <w:highlight w:val="none"/>
        </w:rPr>
      </w:pPr>
      <w:bookmarkStart w:id="31" w:name="_Toc185152207"/>
      <w:r>
        <w:rPr>
          <w:rFonts w:hint="eastAsia"/>
          <w:highlight w:val="none"/>
        </w:rPr>
        <w:t>5</w:t>
      </w:r>
      <w:r>
        <w:rPr>
          <w:highlight w:val="none"/>
        </w:rPr>
        <w:t>.1</w:t>
      </w:r>
      <w:r>
        <w:rPr>
          <w:rFonts w:hint="eastAsia"/>
          <w:highlight w:val="none"/>
        </w:rPr>
        <w:t xml:space="preserve"> </w:t>
      </w:r>
      <w:r>
        <w:rPr>
          <w:highlight w:val="none"/>
        </w:rPr>
        <w:t>装置</w:t>
      </w:r>
      <w:bookmarkEnd w:id="30"/>
      <w:r>
        <w:rPr>
          <w:rFonts w:hint="eastAsia"/>
          <w:highlight w:val="none"/>
        </w:rPr>
        <w:t>安全阀统计</w:t>
      </w:r>
      <w:bookmarkEnd w:id="31"/>
    </w:p>
    <w:p w14:paraId="320725FA">
      <w:pPr>
        <w:ind w:firstLine="480" w:firstLineChars="200"/>
        <w:rPr>
          <w:color w:val="000000"/>
          <w:highlight w:val="none"/>
        </w:rPr>
      </w:pPr>
      <w:bookmarkStart w:id="32" w:name="_Toc98261454"/>
      <w:r>
        <w:rPr>
          <w:rFonts w:hint="eastAsia"/>
          <w:color w:val="000000"/>
          <w:highlight w:val="none"/>
        </w:rPr>
        <w:t>装置安全阀数量见表5-1。</w:t>
      </w:r>
    </w:p>
    <w:p w14:paraId="5748B0E0">
      <w:pPr>
        <w:jc w:val="center"/>
        <w:rPr>
          <w:color w:val="000000"/>
          <w:highlight w:val="none"/>
        </w:rPr>
      </w:pPr>
      <w:r>
        <w:rPr>
          <w:rFonts w:hint="eastAsia"/>
          <w:color w:val="000000"/>
          <w:highlight w:val="none"/>
        </w:rPr>
        <w:t>表5-1 装置安全阀数量统计</w:t>
      </w:r>
    </w:p>
    <w:tbl>
      <w:tblPr>
        <w:tblStyle w:val="30"/>
        <w:tblW w:w="3085" w:type="pct"/>
        <w:tblInd w:w="1916" w:type="dxa"/>
        <w:tblLayout w:type="autofit"/>
        <w:tblCellMar>
          <w:top w:w="0" w:type="dxa"/>
          <w:left w:w="108" w:type="dxa"/>
          <w:bottom w:w="0" w:type="dxa"/>
          <w:right w:w="108" w:type="dxa"/>
        </w:tblCellMar>
      </w:tblPr>
      <w:tblGrid>
        <w:gridCol w:w="1851"/>
        <w:gridCol w:w="1852"/>
        <w:gridCol w:w="1852"/>
      </w:tblGrid>
      <w:tr w14:paraId="3D88F604">
        <w:tblPrEx>
          <w:tblCellMar>
            <w:top w:w="0" w:type="dxa"/>
            <w:left w:w="108" w:type="dxa"/>
            <w:bottom w:w="0" w:type="dxa"/>
            <w:right w:w="108" w:type="dxa"/>
          </w:tblCellMar>
        </w:tblPrEx>
        <w:trPr>
          <w:trHeight w:val="460" w:hRule="atLeast"/>
        </w:trPr>
        <w:tc>
          <w:tcPr>
            <w:tcW w:w="1666" w:type="pct"/>
            <w:tcBorders>
              <w:top w:val="single" w:color="auto" w:sz="4" w:space="0"/>
              <w:left w:val="single" w:color="auto" w:sz="4" w:space="0"/>
              <w:bottom w:val="single" w:color="auto" w:sz="4" w:space="0"/>
              <w:right w:val="single" w:color="auto" w:sz="4" w:space="0"/>
            </w:tcBorders>
            <w:noWrap/>
            <w:vAlign w:val="center"/>
          </w:tcPr>
          <w:p w14:paraId="1AB65F0A">
            <w:pPr>
              <w:widowControl/>
              <w:jc w:val="center"/>
              <w:rPr>
                <w:color w:val="000000"/>
                <w:highlight w:val="none"/>
              </w:rPr>
            </w:pPr>
            <w:r>
              <w:rPr>
                <w:rFonts w:hint="eastAsia"/>
                <w:color w:val="000000"/>
                <w:highlight w:val="none"/>
              </w:rPr>
              <w:t>序号</w:t>
            </w:r>
          </w:p>
        </w:tc>
        <w:tc>
          <w:tcPr>
            <w:tcW w:w="1666" w:type="pct"/>
            <w:tcBorders>
              <w:top w:val="single" w:color="auto" w:sz="4" w:space="0"/>
              <w:left w:val="single" w:color="auto" w:sz="4" w:space="0"/>
              <w:bottom w:val="single" w:color="auto" w:sz="4" w:space="0"/>
              <w:right w:val="single" w:color="auto" w:sz="4" w:space="0"/>
            </w:tcBorders>
            <w:noWrap/>
            <w:vAlign w:val="center"/>
          </w:tcPr>
          <w:p w14:paraId="6168B80E">
            <w:pPr>
              <w:widowControl/>
              <w:jc w:val="center"/>
              <w:rPr>
                <w:rFonts w:hint="eastAsia" w:eastAsia="宋体"/>
                <w:color w:val="000000"/>
                <w:highlight w:val="none"/>
                <w:lang w:eastAsia="zh-CN"/>
              </w:rPr>
            </w:pPr>
            <w:r>
              <w:rPr>
                <w:rFonts w:hint="eastAsia"/>
                <w:color w:val="000000"/>
                <w:highlight w:val="none"/>
                <w:lang w:val="en-US" w:eastAsia="zh-CN"/>
              </w:rPr>
              <w:t>装置</w:t>
            </w:r>
          </w:p>
        </w:tc>
        <w:tc>
          <w:tcPr>
            <w:tcW w:w="1666" w:type="pct"/>
            <w:tcBorders>
              <w:top w:val="single" w:color="auto" w:sz="4" w:space="0"/>
              <w:left w:val="single" w:color="auto" w:sz="4" w:space="0"/>
              <w:bottom w:val="single" w:color="auto" w:sz="4" w:space="0"/>
              <w:right w:val="single" w:color="auto" w:sz="4" w:space="0"/>
            </w:tcBorders>
            <w:vAlign w:val="center"/>
          </w:tcPr>
          <w:p w14:paraId="0969DE7C">
            <w:pPr>
              <w:widowControl/>
              <w:jc w:val="center"/>
              <w:rPr>
                <w:rFonts w:hint="eastAsia" w:ascii="宋体" w:hAnsi="宋体" w:cs="宋体"/>
                <w:color w:val="000000"/>
                <w:kern w:val="0"/>
                <w:highlight w:val="none"/>
              </w:rPr>
            </w:pPr>
            <w:r>
              <w:rPr>
                <w:rFonts w:hint="eastAsia" w:ascii="宋体" w:hAnsi="宋体" w:cs="宋体"/>
                <w:color w:val="000000"/>
                <w:kern w:val="0"/>
                <w:highlight w:val="none"/>
              </w:rPr>
              <w:t>安全阀数量</w:t>
            </w:r>
          </w:p>
        </w:tc>
      </w:tr>
      <w:tr w14:paraId="2FAB14FF">
        <w:tblPrEx>
          <w:tblCellMar>
            <w:top w:w="0" w:type="dxa"/>
            <w:left w:w="108" w:type="dxa"/>
            <w:bottom w:w="0" w:type="dxa"/>
            <w:right w:w="108" w:type="dxa"/>
          </w:tblCellMar>
        </w:tblPrEx>
        <w:trPr>
          <w:trHeight w:val="460" w:hRule="atLeast"/>
        </w:trPr>
        <w:tc>
          <w:tcPr>
            <w:tcW w:w="1666" w:type="pct"/>
            <w:tcBorders>
              <w:top w:val="single" w:color="auto" w:sz="4" w:space="0"/>
              <w:left w:val="single" w:color="auto" w:sz="4" w:space="0"/>
              <w:bottom w:val="single" w:color="auto" w:sz="4" w:space="0"/>
              <w:right w:val="single" w:color="auto" w:sz="4" w:space="0"/>
            </w:tcBorders>
            <w:noWrap/>
            <w:vAlign w:val="center"/>
          </w:tcPr>
          <w:p w14:paraId="4A52CF6B">
            <w:pPr>
              <w:widowControl/>
              <w:jc w:val="center"/>
              <w:rPr>
                <w:color w:val="000000"/>
                <w:highlight w:val="none"/>
              </w:rPr>
            </w:pPr>
            <w:r>
              <w:rPr>
                <w:rFonts w:hint="eastAsia"/>
                <w:color w:val="000000"/>
                <w:highlight w:val="none"/>
              </w:rPr>
              <w:t>1</w:t>
            </w:r>
          </w:p>
        </w:tc>
        <w:tc>
          <w:tcPr>
            <w:tcW w:w="1666" w:type="pct"/>
            <w:tcBorders>
              <w:top w:val="single" w:color="auto" w:sz="4" w:space="0"/>
              <w:left w:val="single" w:color="auto" w:sz="4" w:space="0"/>
              <w:right w:val="single" w:color="auto" w:sz="4" w:space="0"/>
            </w:tcBorders>
            <w:noWrap/>
            <w:vAlign w:val="center"/>
          </w:tcPr>
          <w:p w14:paraId="65EC1F26">
            <w:pPr>
              <w:widowControl/>
              <w:jc w:val="center"/>
              <w:textAlignment w:val="center"/>
              <w:rPr>
                <w:rFonts w:hint="eastAsia" w:eastAsia="宋体"/>
                <w:color w:val="000000"/>
                <w:highlight w:val="none"/>
                <w:lang w:val="en-US" w:eastAsia="zh-CN"/>
              </w:rPr>
            </w:pPr>
            <w:r>
              <w:rPr>
                <w:rFonts w:hint="eastAsia"/>
                <w:color w:val="000000"/>
                <w:highlight w:val="none"/>
              </w:rPr>
              <w:t>储运部</w:t>
            </w:r>
            <w:r>
              <w:rPr>
                <w:rFonts w:hint="eastAsia"/>
                <w:color w:val="000000"/>
                <w:highlight w:val="none"/>
                <w:lang w:val="en-US" w:eastAsia="zh-CN"/>
              </w:rPr>
              <w:t>厂外</w:t>
            </w:r>
          </w:p>
        </w:tc>
        <w:tc>
          <w:tcPr>
            <w:tcW w:w="1666" w:type="pct"/>
            <w:tcBorders>
              <w:top w:val="single" w:color="auto" w:sz="4" w:space="0"/>
              <w:left w:val="single" w:color="auto" w:sz="4" w:space="0"/>
              <w:bottom w:val="single" w:color="auto" w:sz="4" w:space="0"/>
              <w:right w:val="single" w:color="auto" w:sz="4" w:space="0"/>
            </w:tcBorders>
            <w:vAlign w:val="center"/>
          </w:tcPr>
          <w:p w14:paraId="2E73E87F">
            <w:pPr>
              <w:widowControl/>
              <w:jc w:val="center"/>
              <w:textAlignment w:val="center"/>
              <w:rPr>
                <w:color w:val="000000"/>
                <w:highlight w:val="none"/>
              </w:rPr>
            </w:pPr>
            <w:r>
              <w:rPr>
                <w:rFonts w:hint="eastAsia"/>
                <w:color w:val="000000"/>
                <w:highlight w:val="none"/>
              </w:rPr>
              <w:t>30</w:t>
            </w:r>
          </w:p>
        </w:tc>
      </w:tr>
      <w:tr w14:paraId="5AF93B69">
        <w:tblPrEx>
          <w:tblCellMar>
            <w:top w:w="0" w:type="dxa"/>
            <w:left w:w="108" w:type="dxa"/>
            <w:bottom w:w="0" w:type="dxa"/>
            <w:right w:w="108" w:type="dxa"/>
          </w:tblCellMar>
        </w:tblPrEx>
        <w:trPr>
          <w:trHeight w:val="460" w:hRule="atLeast"/>
        </w:trPr>
        <w:tc>
          <w:tcPr>
            <w:tcW w:w="1666" w:type="pct"/>
            <w:tcBorders>
              <w:top w:val="single" w:color="auto" w:sz="4" w:space="0"/>
              <w:left w:val="single" w:color="auto" w:sz="4" w:space="0"/>
              <w:bottom w:val="single" w:color="auto" w:sz="4" w:space="0"/>
              <w:right w:val="single" w:color="auto" w:sz="4" w:space="0"/>
            </w:tcBorders>
            <w:noWrap/>
            <w:vAlign w:val="center"/>
          </w:tcPr>
          <w:p w14:paraId="40A03048">
            <w:pPr>
              <w:widowControl/>
              <w:jc w:val="center"/>
              <w:rPr>
                <w:rFonts w:hint="eastAsia" w:eastAsia="宋体"/>
                <w:color w:val="000000"/>
                <w:highlight w:val="none"/>
                <w:lang w:val="en-US" w:eastAsia="zh-CN"/>
              </w:rPr>
            </w:pPr>
            <w:bookmarkStart w:id="33" w:name="_Toc98261455"/>
            <w:bookmarkStart w:id="34" w:name="_Toc185152208"/>
            <w:r>
              <w:rPr>
                <w:rFonts w:hint="eastAsia"/>
                <w:color w:val="000000"/>
                <w:highlight w:val="none"/>
                <w:lang w:val="en-US" w:eastAsia="zh-CN"/>
              </w:rPr>
              <w:t>2</w:t>
            </w:r>
          </w:p>
        </w:tc>
        <w:tc>
          <w:tcPr>
            <w:tcW w:w="1666" w:type="pct"/>
            <w:tcBorders>
              <w:top w:val="single" w:color="auto" w:sz="4" w:space="0"/>
              <w:left w:val="single" w:color="auto" w:sz="4" w:space="0"/>
              <w:right w:val="single" w:color="auto" w:sz="4" w:space="0"/>
            </w:tcBorders>
            <w:noWrap/>
            <w:vAlign w:val="center"/>
          </w:tcPr>
          <w:p w14:paraId="24ECDD1C">
            <w:pPr>
              <w:widowControl/>
              <w:jc w:val="center"/>
              <w:textAlignment w:val="center"/>
              <w:rPr>
                <w:rFonts w:hint="eastAsia" w:eastAsia="宋体"/>
                <w:color w:val="000000"/>
                <w:highlight w:val="none"/>
                <w:lang w:val="en-US" w:eastAsia="zh-CN"/>
              </w:rPr>
            </w:pPr>
            <w:r>
              <w:rPr>
                <w:rFonts w:hint="eastAsia"/>
                <w:color w:val="000000"/>
                <w:highlight w:val="none"/>
                <w:lang w:val="en-US" w:eastAsia="zh-CN"/>
              </w:rPr>
              <w:t>重油加氢装置</w:t>
            </w:r>
          </w:p>
        </w:tc>
        <w:tc>
          <w:tcPr>
            <w:tcW w:w="1666" w:type="pct"/>
            <w:tcBorders>
              <w:top w:val="single" w:color="auto" w:sz="4" w:space="0"/>
              <w:left w:val="single" w:color="auto" w:sz="4" w:space="0"/>
              <w:bottom w:val="single" w:color="auto" w:sz="4" w:space="0"/>
              <w:right w:val="single" w:color="auto" w:sz="4" w:space="0"/>
            </w:tcBorders>
            <w:vAlign w:val="center"/>
          </w:tcPr>
          <w:p w14:paraId="3DFB5ABC">
            <w:pPr>
              <w:widowControl/>
              <w:jc w:val="center"/>
              <w:textAlignment w:val="center"/>
              <w:rPr>
                <w:rFonts w:hint="default" w:eastAsia="宋体"/>
                <w:color w:val="000000"/>
                <w:highlight w:val="none"/>
                <w:lang w:val="en-US" w:eastAsia="zh-CN"/>
              </w:rPr>
            </w:pPr>
            <w:r>
              <w:rPr>
                <w:rFonts w:hint="eastAsia"/>
                <w:color w:val="000000"/>
                <w:highlight w:val="none"/>
                <w:lang w:val="en-US" w:eastAsia="zh-CN"/>
              </w:rPr>
              <w:t>35</w:t>
            </w:r>
          </w:p>
        </w:tc>
      </w:tr>
      <w:tr w14:paraId="4EC20D7A">
        <w:tblPrEx>
          <w:tblCellMar>
            <w:top w:w="0" w:type="dxa"/>
            <w:left w:w="108" w:type="dxa"/>
            <w:bottom w:w="0" w:type="dxa"/>
            <w:right w:w="108" w:type="dxa"/>
          </w:tblCellMar>
        </w:tblPrEx>
        <w:trPr>
          <w:trHeight w:val="460" w:hRule="atLeast"/>
        </w:trPr>
        <w:tc>
          <w:tcPr>
            <w:tcW w:w="1666" w:type="pct"/>
            <w:tcBorders>
              <w:top w:val="single" w:color="auto" w:sz="4" w:space="0"/>
              <w:left w:val="single" w:color="auto" w:sz="4" w:space="0"/>
              <w:bottom w:val="single" w:color="auto" w:sz="4" w:space="0"/>
              <w:right w:val="single" w:color="auto" w:sz="4" w:space="0"/>
            </w:tcBorders>
            <w:noWrap/>
            <w:vAlign w:val="center"/>
          </w:tcPr>
          <w:p w14:paraId="12344CE9">
            <w:pPr>
              <w:widowControl/>
              <w:jc w:val="center"/>
              <w:rPr>
                <w:rFonts w:hint="eastAsia" w:eastAsia="宋体"/>
                <w:color w:val="000000"/>
                <w:highlight w:val="none"/>
                <w:lang w:val="en-US" w:eastAsia="zh-CN"/>
              </w:rPr>
            </w:pPr>
            <w:r>
              <w:rPr>
                <w:rFonts w:hint="eastAsia"/>
                <w:color w:val="000000"/>
                <w:highlight w:val="none"/>
                <w:lang w:val="en-US" w:eastAsia="zh-CN"/>
              </w:rPr>
              <w:t>3</w:t>
            </w:r>
          </w:p>
        </w:tc>
        <w:tc>
          <w:tcPr>
            <w:tcW w:w="1666" w:type="pct"/>
            <w:tcBorders>
              <w:top w:val="single" w:color="auto" w:sz="4" w:space="0"/>
              <w:left w:val="single" w:color="auto" w:sz="4" w:space="0"/>
              <w:right w:val="single" w:color="auto" w:sz="4" w:space="0"/>
            </w:tcBorders>
            <w:noWrap/>
            <w:vAlign w:val="center"/>
          </w:tcPr>
          <w:p w14:paraId="08379B4A">
            <w:pPr>
              <w:widowControl/>
              <w:jc w:val="center"/>
              <w:textAlignment w:val="center"/>
              <w:rPr>
                <w:rFonts w:hint="eastAsia" w:eastAsia="宋体"/>
                <w:color w:val="000000"/>
                <w:highlight w:val="none"/>
                <w:lang w:val="en-US" w:eastAsia="zh-CN"/>
              </w:rPr>
            </w:pPr>
            <w:r>
              <w:rPr>
                <w:rFonts w:hint="eastAsia"/>
                <w:color w:val="000000"/>
                <w:highlight w:val="none"/>
                <w:lang w:val="en-US" w:eastAsia="zh-CN"/>
              </w:rPr>
              <w:t>热电场</w:t>
            </w:r>
          </w:p>
        </w:tc>
        <w:tc>
          <w:tcPr>
            <w:tcW w:w="1666" w:type="pct"/>
            <w:tcBorders>
              <w:top w:val="single" w:color="auto" w:sz="4" w:space="0"/>
              <w:left w:val="single" w:color="auto" w:sz="4" w:space="0"/>
              <w:bottom w:val="single" w:color="auto" w:sz="4" w:space="0"/>
              <w:right w:val="single" w:color="auto" w:sz="4" w:space="0"/>
            </w:tcBorders>
            <w:vAlign w:val="center"/>
          </w:tcPr>
          <w:p w14:paraId="42ED6E9F">
            <w:pPr>
              <w:widowControl/>
              <w:jc w:val="center"/>
              <w:textAlignment w:val="center"/>
              <w:rPr>
                <w:rFonts w:hint="eastAsia" w:eastAsia="宋体"/>
                <w:color w:val="000000"/>
                <w:highlight w:val="none"/>
                <w:lang w:val="en-US" w:eastAsia="zh-CN"/>
              </w:rPr>
            </w:pPr>
            <w:r>
              <w:rPr>
                <w:rFonts w:hint="eastAsia"/>
                <w:color w:val="000000"/>
                <w:highlight w:val="none"/>
                <w:lang w:val="en-US" w:eastAsia="zh-CN"/>
              </w:rPr>
              <w:t>3</w:t>
            </w:r>
          </w:p>
        </w:tc>
      </w:tr>
      <w:tr w14:paraId="32E6A4B6">
        <w:tblPrEx>
          <w:tblCellMar>
            <w:top w:w="0" w:type="dxa"/>
            <w:left w:w="108" w:type="dxa"/>
            <w:bottom w:w="0" w:type="dxa"/>
            <w:right w:w="108" w:type="dxa"/>
          </w:tblCellMar>
        </w:tblPrEx>
        <w:trPr>
          <w:trHeight w:val="460" w:hRule="atLeast"/>
        </w:trPr>
        <w:tc>
          <w:tcPr>
            <w:tcW w:w="3333" w:type="pct"/>
            <w:gridSpan w:val="2"/>
            <w:tcBorders>
              <w:top w:val="single" w:color="auto" w:sz="4" w:space="0"/>
              <w:left w:val="single" w:color="auto" w:sz="4" w:space="0"/>
              <w:bottom w:val="single" w:color="auto" w:sz="4" w:space="0"/>
              <w:right w:val="single" w:color="auto" w:sz="4" w:space="0"/>
            </w:tcBorders>
            <w:noWrap/>
            <w:vAlign w:val="center"/>
          </w:tcPr>
          <w:p w14:paraId="515151B4">
            <w:pPr>
              <w:widowControl/>
              <w:jc w:val="center"/>
              <w:rPr>
                <w:color w:val="000000"/>
                <w:highlight w:val="none"/>
              </w:rPr>
            </w:pPr>
            <w:r>
              <w:rPr>
                <w:rFonts w:hint="eastAsia"/>
                <w:color w:val="000000"/>
                <w:highlight w:val="none"/>
              </w:rPr>
              <w:t>合计</w:t>
            </w:r>
          </w:p>
        </w:tc>
        <w:tc>
          <w:tcPr>
            <w:tcW w:w="1666" w:type="pct"/>
            <w:tcBorders>
              <w:top w:val="single" w:color="auto" w:sz="4" w:space="0"/>
              <w:left w:val="single" w:color="auto" w:sz="4" w:space="0"/>
              <w:bottom w:val="single" w:color="auto" w:sz="4" w:space="0"/>
              <w:right w:val="single" w:color="auto" w:sz="4" w:space="0"/>
            </w:tcBorders>
            <w:vAlign w:val="center"/>
          </w:tcPr>
          <w:p w14:paraId="37B842C7">
            <w:pPr>
              <w:widowControl/>
              <w:jc w:val="center"/>
              <w:rPr>
                <w:rFonts w:hint="default" w:eastAsia="宋体" w:cs="宋体"/>
                <w:b/>
                <w:bCs/>
                <w:color w:val="000000"/>
                <w:kern w:val="0"/>
                <w:highlight w:val="none"/>
                <w:lang w:val="en-US" w:eastAsia="zh-CN"/>
              </w:rPr>
            </w:pPr>
            <w:r>
              <w:rPr>
                <w:rFonts w:hint="eastAsia" w:cs="宋体"/>
                <w:b/>
                <w:bCs/>
                <w:color w:val="000000"/>
                <w:kern w:val="0"/>
                <w:highlight w:val="none"/>
                <w:lang w:val="en-US" w:eastAsia="zh-CN"/>
              </w:rPr>
              <w:t>68</w:t>
            </w:r>
          </w:p>
        </w:tc>
      </w:tr>
      <w:bookmarkEnd w:id="32"/>
    </w:tbl>
    <w:p w14:paraId="55499A7B">
      <w:pPr>
        <w:pStyle w:val="3"/>
        <w:tabs>
          <w:tab w:val="left" w:pos="360"/>
          <w:tab w:val="clear" w:pos="480"/>
        </w:tabs>
        <w:spacing w:before="115" w:beforeLines="25" w:after="115" w:afterLines="25"/>
        <w:rPr>
          <w:color w:val="000000"/>
          <w:highlight w:val="none"/>
        </w:rPr>
      </w:pPr>
      <w:bookmarkStart w:id="35" w:name="_Hlt145297529"/>
      <w:bookmarkEnd w:id="35"/>
      <w:r>
        <w:rPr>
          <w:rFonts w:hint="eastAsia"/>
          <w:color w:val="000000"/>
          <w:highlight w:val="none"/>
        </w:rPr>
        <w:t>5</w:t>
      </w:r>
      <w:r>
        <w:rPr>
          <w:color w:val="000000"/>
          <w:highlight w:val="none"/>
        </w:rPr>
        <w:t>.2</w:t>
      </w:r>
      <w:r>
        <w:rPr>
          <w:rFonts w:hint="eastAsia"/>
          <w:color w:val="000000"/>
          <w:highlight w:val="none"/>
        </w:rPr>
        <w:t xml:space="preserve"> 安全阀</w:t>
      </w:r>
      <w:r>
        <w:rPr>
          <w:color w:val="000000"/>
          <w:highlight w:val="none"/>
        </w:rPr>
        <w:t>运行状况、</w:t>
      </w:r>
      <w:r>
        <w:rPr>
          <w:rFonts w:hint="eastAsia"/>
          <w:color w:val="000000"/>
          <w:highlight w:val="none"/>
        </w:rPr>
        <w:t>校</w:t>
      </w:r>
      <w:r>
        <w:rPr>
          <w:color w:val="000000"/>
          <w:highlight w:val="none"/>
        </w:rPr>
        <w:t>验历史</w:t>
      </w:r>
      <w:bookmarkEnd w:id="33"/>
      <w:r>
        <w:rPr>
          <w:rFonts w:hint="eastAsia"/>
          <w:color w:val="000000"/>
          <w:highlight w:val="none"/>
        </w:rPr>
        <w:t>与检验周期</w:t>
      </w:r>
      <w:bookmarkEnd w:id="34"/>
    </w:p>
    <w:p w14:paraId="03B83BA7">
      <w:pPr>
        <w:ind w:firstLine="480" w:firstLineChars="200"/>
        <w:rPr>
          <w:bCs/>
          <w:color w:val="000000"/>
          <w:highlight w:val="none"/>
        </w:rPr>
      </w:pPr>
      <w:bookmarkStart w:id="36" w:name="_Toc98261463"/>
      <w:bookmarkStart w:id="37" w:name="_Toc68772924"/>
      <w:bookmarkStart w:id="38" w:name="_Toc102149422"/>
      <w:r>
        <w:rPr>
          <w:rFonts w:hint="eastAsia"/>
          <w:bCs/>
          <w:color w:val="000000"/>
          <w:highlight w:val="none"/>
          <w:lang w:val="en-US" w:eastAsia="zh-CN"/>
        </w:rPr>
        <w:t>本次评估范围内的</w:t>
      </w:r>
      <w:r>
        <w:rPr>
          <w:rFonts w:hint="eastAsia"/>
          <w:bCs/>
          <w:color w:val="000000"/>
          <w:highlight w:val="none"/>
        </w:rPr>
        <w:t>储运部</w:t>
      </w:r>
      <w:r>
        <w:rPr>
          <w:rFonts w:hint="eastAsia"/>
          <w:bCs/>
          <w:color w:val="000000"/>
          <w:highlight w:val="none"/>
          <w:lang w:val="en-US" w:eastAsia="zh-CN"/>
        </w:rPr>
        <w:t>厂外和热电场33</w:t>
      </w:r>
      <w:r>
        <w:rPr>
          <w:rFonts w:hint="eastAsia"/>
          <w:bCs/>
          <w:color w:val="000000"/>
          <w:highlight w:val="none"/>
        </w:rPr>
        <w:t>台安全阀在2025年</w:t>
      </w:r>
      <w:r>
        <w:rPr>
          <w:rFonts w:hint="eastAsia"/>
          <w:bCs/>
          <w:color w:val="000000"/>
          <w:highlight w:val="none"/>
          <w:lang w:val="en-US" w:eastAsia="zh-CN"/>
        </w:rPr>
        <w:t>8</w:t>
      </w:r>
      <w:bookmarkStart w:id="67" w:name="_GoBack"/>
      <w:bookmarkEnd w:id="67"/>
      <w:r>
        <w:rPr>
          <w:rFonts w:hint="eastAsia"/>
          <w:bCs/>
          <w:color w:val="000000"/>
          <w:highlight w:val="none"/>
        </w:rPr>
        <w:t>月至2026年3月之间投用，</w:t>
      </w:r>
      <w:r>
        <w:rPr>
          <w:rFonts w:hint="eastAsia"/>
          <w:bCs/>
          <w:color w:val="000000"/>
          <w:highlight w:val="none"/>
          <w:lang w:val="en-US" w:eastAsia="zh-CN"/>
        </w:rPr>
        <w:t>投用前进行了校验；重油加氢装置35台安全阀在评估前都按安全阀校验周期要求进行校验，无超期未校现象</w:t>
      </w:r>
      <w:r>
        <w:rPr>
          <w:rFonts w:hint="eastAsia"/>
          <w:bCs/>
          <w:color w:val="000000"/>
          <w:highlight w:val="none"/>
        </w:rPr>
        <w:t>。通过本次评估，拟将安全阀根据风险水平分期校验。</w:t>
      </w:r>
    </w:p>
    <w:bookmarkEnd w:id="36"/>
    <w:bookmarkEnd w:id="37"/>
    <w:bookmarkEnd w:id="38"/>
    <w:p w14:paraId="4DD51669">
      <w:pPr>
        <w:pStyle w:val="2"/>
        <w:tabs>
          <w:tab w:val="clear" w:pos="480"/>
        </w:tabs>
        <w:spacing w:before="230" w:beforeLines="0" w:after="230" w:afterLines="0"/>
        <w:rPr>
          <w:color w:val="000000"/>
          <w:kern w:val="2"/>
          <w:sz w:val="28"/>
          <w:highlight w:val="none"/>
        </w:rPr>
      </w:pPr>
      <w:bookmarkStart w:id="39" w:name="_Toc185152209"/>
      <w:bookmarkStart w:id="40" w:name="_Toc98261472"/>
      <w:r>
        <w:rPr>
          <w:rFonts w:hint="eastAsia"/>
          <w:color w:val="000000"/>
          <w:kern w:val="2"/>
          <w:sz w:val="28"/>
          <w:highlight w:val="none"/>
        </w:rPr>
        <w:t>6</w:t>
      </w:r>
      <w:r>
        <w:rPr>
          <w:color w:val="000000"/>
          <w:kern w:val="2"/>
          <w:sz w:val="28"/>
          <w:highlight w:val="none"/>
        </w:rPr>
        <w:t>.</w:t>
      </w:r>
      <w:r>
        <w:rPr>
          <w:rFonts w:hint="eastAsia"/>
          <w:color w:val="000000"/>
          <w:kern w:val="2"/>
          <w:sz w:val="28"/>
          <w:highlight w:val="none"/>
        </w:rPr>
        <w:t xml:space="preserve"> </w:t>
      </w:r>
      <w:r>
        <w:rPr>
          <w:color w:val="000000"/>
          <w:kern w:val="2"/>
          <w:sz w:val="28"/>
          <w:highlight w:val="none"/>
        </w:rPr>
        <w:t>风险分析结果</w:t>
      </w:r>
      <w:bookmarkEnd w:id="39"/>
      <w:bookmarkEnd w:id="40"/>
    </w:p>
    <w:p w14:paraId="02C9A273">
      <w:pPr>
        <w:pStyle w:val="3"/>
        <w:tabs>
          <w:tab w:val="left" w:pos="360"/>
          <w:tab w:val="clear" w:pos="480"/>
        </w:tabs>
        <w:spacing w:before="115" w:beforeLines="25" w:after="115" w:afterLines="25"/>
        <w:rPr>
          <w:bCs w:val="0"/>
          <w:color w:val="000000"/>
          <w:szCs w:val="24"/>
          <w:highlight w:val="none"/>
        </w:rPr>
      </w:pPr>
      <w:bookmarkStart w:id="41" w:name="_Toc401297826"/>
      <w:bookmarkStart w:id="42" w:name="_Toc185152210"/>
      <w:r>
        <w:rPr>
          <w:rFonts w:hint="eastAsia"/>
          <w:bCs w:val="0"/>
          <w:color w:val="000000"/>
          <w:szCs w:val="24"/>
          <w:highlight w:val="none"/>
        </w:rPr>
        <w:t xml:space="preserve">6.1 </w:t>
      </w:r>
      <w:r>
        <w:rPr>
          <w:color w:val="000000"/>
          <w:szCs w:val="24"/>
          <w:highlight w:val="none"/>
        </w:rPr>
        <w:t>风险</w:t>
      </w:r>
      <w:r>
        <w:rPr>
          <w:bCs w:val="0"/>
          <w:color w:val="000000"/>
          <w:szCs w:val="24"/>
          <w:highlight w:val="none"/>
        </w:rPr>
        <w:t>分布</w:t>
      </w:r>
      <w:bookmarkEnd w:id="41"/>
      <w:bookmarkEnd w:id="42"/>
    </w:p>
    <w:p w14:paraId="0C69C343">
      <w:pPr>
        <w:ind w:firstLine="420"/>
        <w:rPr>
          <w:highlight w:val="none"/>
        </w:rPr>
      </w:pPr>
      <w:r>
        <w:rPr>
          <w:rFonts w:hint="eastAsia"/>
          <w:highlight w:val="none"/>
        </w:rPr>
        <w:t>本次所评储运部</w:t>
      </w:r>
      <w:r>
        <w:rPr>
          <w:rFonts w:hint="eastAsia"/>
          <w:highlight w:val="none"/>
          <w:lang w:val="en-US" w:eastAsia="zh-CN"/>
        </w:rPr>
        <w:t>等68</w:t>
      </w:r>
      <w:r>
        <w:rPr>
          <w:rFonts w:hint="eastAsia"/>
          <w:highlight w:val="none"/>
        </w:rPr>
        <w:t>台安全阀自最近一次校验后1-5年风险分布的风险矩阵见图6-1至图6-5所示。</w:t>
      </w:r>
    </w:p>
    <w:p w14:paraId="50749EA2">
      <w:pPr>
        <w:rPr>
          <w:highlight w:val="none"/>
        </w:rPr>
      </w:pPr>
      <w:r>
        <w:rPr>
          <w:rFonts w:hint="eastAsia"/>
          <w:highlight w:val="none"/>
        </w:rPr>
        <w:t>6.1.1</w:t>
      </w:r>
      <w:r>
        <w:rPr>
          <w:highlight w:val="none"/>
        </w:rPr>
        <w:t xml:space="preserve"> </w:t>
      </w:r>
      <w:r>
        <w:rPr>
          <w:rFonts w:hint="eastAsia"/>
          <w:highlight w:val="none"/>
        </w:rPr>
        <w:t xml:space="preserve"> 自校验日期1年后风险分布</w:t>
      </w:r>
    </w:p>
    <w:p w14:paraId="24F68DA7">
      <w:pPr>
        <w:ind w:firstLine="420"/>
        <w:rPr>
          <w:highlight w:val="none"/>
        </w:rPr>
      </w:pPr>
      <w:r>
        <w:rPr>
          <w:rFonts w:hint="eastAsia"/>
          <w:highlight w:val="none"/>
        </w:rPr>
        <w:t>1年后安全阀风险分布情况如图6-1所示，从图中可以看出：高风险安全阀</w:t>
      </w:r>
      <w:r>
        <w:rPr>
          <w:rFonts w:hint="eastAsia"/>
          <w:highlight w:val="none"/>
          <w:lang w:val="en-US" w:eastAsia="zh-CN"/>
        </w:rPr>
        <w:t>2</w:t>
      </w:r>
      <w:r>
        <w:rPr>
          <w:rFonts w:hint="eastAsia"/>
          <w:highlight w:val="none"/>
        </w:rPr>
        <w:t>台，中高风险安全阀</w:t>
      </w:r>
      <w:r>
        <w:rPr>
          <w:rFonts w:hint="eastAsia"/>
          <w:highlight w:val="none"/>
          <w:lang w:val="en-US" w:eastAsia="zh-CN"/>
        </w:rPr>
        <w:t>33</w:t>
      </w:r>
      <w:r>
        <w:rPr>
          <w:rFonts w:hint="eastAsia"/>
          <w:highlight w:val="none"/>
        </w:rPr>
        <w:t>台，中风险安全阀</w:t>
      </w:r>
      <w:r>
        <w:rPr>
          <w:rFonts w:hint="eastAsia"/>
          <w:highlight w:val="none"/>
          <w:lang w:val="en-US" w:eastAsia="zh-CN"/>
        </w:rPr>
        <w:t>29</w:t>
      </w:r>
      <w:r>
        <w:rPr>
          <w:rFonts w:hint="eastAsia"/>
          <w:highlight w:val="none"/>
        </w:rPr>
        <w:t>台，低风险安全阀4台。详细风险水平见附录2。</w:t>
      </w:r>
    </w:p>
    <w:p w14:paraId="21A4FDF0">
      <w:pPr>
        <w:jc w:val="center"/>
        <w:rPr>
          <w:rFonts w:hint="eastAsia" w:eastAsia="宋体"/>
          <w:highlight w:val="none"/>
          <w:lang w:eastAsia="zh-CN"/>
        </w:rPr>
      </w:pPr>
      <w:r>
        <w:rPr>
          <w:rFonts w:hint="eastAsia" w:eastAsia="宋体"/>
          <w:highlight w:val="none"/>
          <w:lang w:eastAsia="zh-CN"/>
        </w:rPr>
        <w:drawing>
          <wp:inline distT="0" distB="0" distL="114300" distR="114300">
            <wp:extent cx="5572125" cy="2538730"/>
            <wp:effectExtent l="0" t="0" r="1905" b="825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8"/>
                    <a:stretch>
                      <a:fillRect/>
                    </a:stretch>
                  </pic:blipFill>
                  <pic:spPr>
                    <a:xfrm>
                      <a:off x="0" y="0"/>
                      <a:ext cx="5572125" cy="2538730"/>
                    </a:xfrm>
                    <a:prstGeom prst="rect">
                      <a:avLst/>
                    </a:prstGeom>
                  </pic:spPr>
                </pic:pic>
              </a:graphicData>
            </a:graphic>
          </wp:inline>
        </w:drawing>
      </w:r>
    </w:p>
    <w:p w14:paraId="51AE917D">
      <w:pPr>
        <w:jc w:val="center"/>
        <w:rPr>
          <w:bCs/>
          <w:color w:val="000000"/>
          <w:highlight w:val="none"/>
        </w:rPr>
      </w:pPr>
      <w:r>
        <w:rPr>
          <w:rFonts w:hint="eastAsia"/>
          <w:bCs/>
          <w:color w:val="000000"/>
          <w:highlight w:val="none"/>
        </w:rPr>
        <w:t xml:space="preserve">图6-1   </w:t>
      </w:r>
      <w:r>
        <w:rPr>
          <w:rFonts w:hint="eastAsia"/>
          <w:highlight w:val="none"/>
        </w:rPr>
        <w:t>1年后</w:t>
      </w:r>
      <w:r>
        <w:rPr>
          <w:rFonts w:hint="eastAsia"/>
          <w:bCs/>
          <w:color w:val="000000"/>
          <w:highlight w:val="none"/>
        </w:rPr>
        <w:t>安全阀风险分布图</w:t>
      </w:r>
    </w:p>
    <w:p w14:paraId="3110562E">
      <w:pPr>
        <w:rPr>
          <w:highlight w:val="none"/>
        </w:rPr>
      </w:pPr>
      <w:r>
        <w:rPr>
          <w:rFonts w:hint="eastAsia"/>
          <w:highlight w:val="none"/>
        </w:rPr>
        <w:t>6.1.2 自校验日期</w:t>
      </w:r>
      <w:r>
        <w:rPr>
          <w:highlight w:val="none"/>
        </w:rPr>
        <w:t>2</w:t>
      </w:r>
      <w:r>
        <w:rPr>
          <w:rFonts w:hint="eastAsia"/>
          <w:highlight w:val="none"/>
        </w:rPr>
        <w:t>年后风险分布</w:t>
      </w:r>
    </w:p>
    <w:p w14:paraId="5AC70085">
      <w:pPr>
        <w:ind w:firstLine="420"/>
        <w:rPr>
          <w:highlight w:val="none"/>
        </w:rPr>
      </w:pPr>
      <w:r>
        <w:rPr>
          <w:highlight w:val="none"/>
        </w:rPr>
        <w:t>2</w:t>
      </w:r>
      <w:r>
        <w:rPr>
          <w:rFonts w:hint="eastAsia"/>
          <w:highlight w:val="none"/>
        </w:rPr>
        <w:t>年后安全阀风险分布情况如图6-2所示，从图中可以看出：高风险安全阀</w:t>
      </w:r>
      <w:r>
        <w:rPr>
          <w:rFonts w:hint="eastAsia"/>
          <w:highlight w:val="none"/>
          <w:lang w:val="en-US" w:eastAsia="zh-CN"/>
        </w:rPr>
        <w:t>2</w:t>
      </w:r>
      <w:r>
        <w:rPr>
          <w:rFonts w:hint="eastAsia"/>
          <w:highlight w:val="none"/>
        </w:rPr>
        <w:t>台，中高风险安全阀</w:t>
      </w:r>
      <w:r>
        <w:rPr>
          <w:rFonts w:hint="eastAsia"/>
          <w:highlight w:val="none"/>
          <w:lang w:val="en-US" w:eastAsia="zh-CN"/>
        </w:rPr>
        <w:t>33</w:t>
      </w:r>
      <w:r>
        <w:rPr>
          <w:rFonts w:hint="eastAsia"/>
          <w:highlight w:val="none"/>
        </w:rPr>
        <w:t>台，中风险安全阀</w:t>
      </w:r>
      <w:r>
        <w:rPr>
          <w:rFonts w:hint="eastAsia"/>
          <w:highlight w:val="none"/>
          <w:lang w:val="en-US" w:eastAsia="zh-CN"/>
        </w:rPr>
        <w:t>29</w:t>
      </w:r>
      <w:r>
        <w:rPr>
          <w:rFonts w:hint="eastAsia"/>
          <w:highlight w:val="none"/>
        </w:rPr>
        <w:t>台，低风险安全阀4台。详细风险水平见附录2。</w:t>
      </w:r>
    </w:p>
    <w:p w14:paraId="1F6BD80B">
      <w:pPr>
        <w:autoSpaceDE w:val="0"/>
        <w:autoSpaceDN w:val="0"/>
        <w:spacing w:line="360" w:lineRule="auto"/>
        <w:jc w:val="center"/>
        <w:rPr>
          <w:rFonts w:hint="eastAsia" w:eastAsia="宋体"/>
          <w:highlight w:val="none"/>
          <w:lang w:eastAsia="zh-CN"/>
        </w:rPr>
      </w:pPr>
      <w:r>
        <w:rPr>
          <w:rFonts w:hint="eastAsia" w:eastAsia="宋体"/>
          <w:highlight w:val="none"/>
          <w:lang w:eastAsia="zh-CN"/>
        </w:rPr>
        <w:drawing>
          <wp:inline distT="0" distB="0" distL="114300" distR="114300">
            <wp:extent cx="5572125" cy="2538730"/>
            <wp:effectExtent l="0" t="0" r="1905" b="825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9"/>
                    <a:stretch>
                      <a:fillRect/>
                    </a:stretch>
                  </pic:blipFill>
                  <pic:spPr>
                    <a:xfrm>
                      <a:off x="0" y="0"/>
                      <a:ext cx="5572125" cy="2538730"/>
                    </a:xfrm>
                    <a:prstGeom prst="rect">
                      <a:avLst/>
                    </a:prstGeom>
                  </pic:spPr>
                </pic:pic>
              </a:graphicData>
            </a:graphic>
          </wp:inline>
        </w:drawing>
      </w:r>
    </w:p>
    <w:p w14:paraId="074BDCCA">
      <w:pPr>
        <w:autoSpaceDE w:val="0"/>
        <w:autoSpaceDN w:val="0"/>
        <w:spacing w:line="360" w:lineRule="auto"/>
        <w:jc w:val="center"/>
        <w:rPr>
          <w:bCs/>
          <w:color w:val="000000"/>
          <w:highlight w:val="none"/>
        </w:rPr>
      </w:pPr>
      <w:r>
        <w:rPr>
          <w:rFonts w:hint="eastAsia"/>
          <w:bCs/>
          <w:color w:val="000000"/>
          <w:highlight w:val="none"/>
        </w:rPr>
        <w:t xml:space="preserve">图6-2   </w:t>
      </w:r>
      <w:r>
        <w:rPr>
          <w:bCs/>
          <w:color w:val="000000"/>
          <w:highlight w:val="none"/>
        </w:rPr>
        <w:t>2</w:t>
      </w:r>
      <w:r>
        <w:rPr>
          <w:rFonts w:hint="eastAsia"/>
          <w:bCs/>
          <w:color w:val="000000"/>
          <w:highlight w:val="none"/>
        </w:rPr>
        <w:t>年后安全阀风险分布图</w:t>
      </w:r>
    </w:p>
    <w:p w14:paraId="0461ED1B">
      <w:pPr>
        <w:rPr>
          <w:highlight w:val="none"/>
        </w:rPr>
      </w:pPr>
      <w:r>
        <w:rPr>
          <w:rFonts w:hint="eastAsia"/>
          <w:highlight w:val="none"/>
        </w:rPr>
        <w:t>6.1.3  自校验日期</w:t>
      </w:r>
      <w:r>
        <w:rPr>
          <w:highlight w:val="none"/>
        </w:rPr>
        <w:t>3</w:t>
      </w:r>
      <w:r>
        <w:rPr>
          <w:rFonts w:hint="eastAsia"/>
          <w:highlight w:val="none"/>
        </w:rPr>
        <w:t>年后风险分布</w:t>
      </w:r>
    </w:p>
    <w:p w14:paraId="3BD1CF5E">
      <w:pPr>
        <w:ind w:firstLine="420"/>
        <w:rPr>
          <w:highlight w:val="none"/>
        </w:rPr>
      </w:pPr>
      <w:r>
        <w:rPr>
          <w:highlight w:val="none"/>
        </w:rPr>
        <w:t>3</w:t>
      </w:r>
      <w:r>
        <w:rPr>
          <w:rFonts w:hint="eastAsia"/>
          <w:highlight w:val="none"/>
        </w:rPr>
        <w:t>年后安全阀风险分布情况如图6-3所示，从图中可以看出：高风险安全阀</w:t>
      </w:r>
      <w:r>
        <w:rPr>
          <w:rFonts w:hint="eastAsia"/>
          <w:highlight w:val="none"/>
          <w:lang w:val="en-US" w:eastAsia="zh-CN"/>
        </w:rPr>
        <w:t>4</w:t>
      </w:r>
      <w:r>
        <w:rPr>
          <w:rFonts w:hint="eastAsia"/>
          <w:highlight w:val="none"/>
        </w:rPr>
        <w:t>台，中高风险安全阀</w:t>
      </w:r>
      <w:r>
        <w:rPr>
          <w:rFonts w:hint="eastAsia"/>
          <w:highlight w:val="none"/>
          <w:lang w:val="en-US" w:eastAsia="zh-CN"/>
        </w:rPr>
        <w:t>33</w:t>
      </w:r>
      <w:r>
        <w:rPr>
          <w:rFonts w:hint="eastAsia"/>
          <w:highlight w:val="none"/>
        </w:rPr>
        <w:t>台，中风险安全阀</w:t>
      </w:r>
      <w:r>
        <w:rPr>
          <w:rFonts w:hint="eastAsia"/>
          <w:highlight w:val="none"/>
          <w:lang w:val="en-US" w:eastAsia="zh-CN"/>
        </w:rPr>
        <w:t>27</w:t>
      </w:r>
      <w:r>
        <w:rPr>
          <w:rFonts w:hint="eastAsia"/>
          <w:highlight w:val="none"/>
        </w:rPr>
        <w:t>台，低风险安全阀4台。详细风险水平见附录2。</w:t>
      </w:r>
    </w:p>
    <w:p w14:paraId="7B0D2994">
      <w:pPr>
        <w:autoSpaceDE w:val="0"/>
        <w:autoSpaceDN w:val="0"/>
        <w:spacing w:line="360" w:lineRule="auto"/>
        <w:jc w:val="center"/>
        <w:rPr>
          <w:rFonts w:hint="eastAsia" w:eastAsia="宋体"/>
          <w:highlight w:val="none"/>
          <w:lang w:eastAsia="zh-CN"/>
        </w:rPr>
      </w:pPr>
      <w:r>
        <w:rPr>
          <w:rFonts w:hint="eastAsia" w:eastAsia="宋体"/>
          <w:highlight w:val="none"/>
          <w:lang w:eastAsia="zh-CN"/>
        </w:rPr>
        <w:drawing>
          <wp:inline distT="0" distB="0" distL="114300" distR="114300">
            <wp:extent cx="5572125" cy="2538730"/>
            <wp:effectExtent l="0" t="0" r="1905" b="825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10"/>
                    <a:stretch>
                      <a:fillRect/>
                    </a:stretch>
                  </pic:blipFill>
                  <pic:spPr>
                    <a:xfrm>
                      <a:off x="0" y="0"/>
                      <a:ext cx="5572125" cy="2538730"/>
                    </a:xfrm>
                    <a:prstGeom prst="rect">
                      <a:avLst/>
                    </a:prstGeom>
                  </pic:spPr>
                </pic:pic>
              </a:graphicData>
            </a:graphic>
          </wp:inline>
        </w:drawing>
      </w:r>
    </w:p>
    <w:p w14:paraId="43010A34">
      <w:pPr>
        <w:autoSpaceDE w:val="0"/>
        <w:autoSpaceDN w:val="0"/>
        <w:spacing w:line="360" w:lineRule="auto"/>
        <w:jc w:val="center"/>
        <w:rPr>
          <w:bCs/>
          <w:color w:val="000000"/>
          <w:highlight w:val="none"/>
        </w:rPr>
      </w:pPr>
      <w:r>
        <w:rPr>
          <w:rFonts w:hint="eastAsia"/>
          <w:bCs/>
          <w:color w:val="000000"/>
          <w:highlight w:val="none"/>
        </w:rPr>
        <w:t xml:space="preserve">图6-3   </w:t>
      </w:r>
      <w:r>
        <w:rPr>
          <w:bCs/>
          <w:color w:val="000000"/>
          <w:highlight w:val="none"/>
        </w:rPr>
        <w:t>3</w:t>
      </w:r>
      <w:r>
        <w:rPr>
          <w:rFonts w:hint="eastAsia"/>
          <w:bCs/>
          <w:color w:val="000000"/>
          <w:highlight w:val="none"/>
        </w:rPr>
        <w:t>年后安全阀风险分布图</w:t>
      </w:r>
    </w:p>
    <w:p w14:paraId="19F1350D">
      <w:pPr>
        <w:rPr>
          <w:highlight w:val="none"/>
        </w:rPr>
      </w:pPr>
      <w:r>
        <w:rPr>
          <w:rFonts w:hint="eastAsia"/>
          <w:highlight w:val="none"/>
        </w:rPr>
        <w:t>6.1.4  自校验日期</w:t>
      </w:r>
      <w:r>
        <w:rPr>
          <w:highlight w:val="none"/>
        </w:rPr>
        <w:t>4</w:t>
      </w:r>
      <w:r>
        <w:rPr>
          <w:rFonts w:hint="eastAsia"/>
          <w:highlight w:val="none"/>
        </w:rPr>
        <w:t>年后风险分布</w:t>
      </w:r>
    </w:p>
    <w:p w14:paraId="558CE420">
      <w:pPr>
        <w:ind w:firstLine="420"/>
        <w:rPr>
          <w:highlight w:val="none"/>
        </w:rPr>
      </w:pPr>
      <w:r>
        <w:rPr>
          <w:highlight w:val="none"/>
        </w:rPr>
        <w:t>4</w:t>
      </w:r>
      <w:r>
        <w:rPr>
          <w:rFonts w:hint="eastAsia"/>
          <w:highlight w:val="none"/>
        </w:rPr>
        <w:t>年后安全阀风险分布情况如图6-4所示，从图中可以看出：高风险安全阀</w:t>
      </w:r>
      <w:r>
        <w:rPr>
          <w:rFonts w:hint="eastAsia"/>
          <w:highlight w:val="none"/>
          <w:lang w:val="en-US" w:eastAsia="zh-CN"/>
        </w:rPr>
        <w:t>4</w:t>
      </w:r>
      <w:r>
        <w:rPr>
          <w:rFonts w:hint="eastAsia"/>
          <w:highlight w:val="none"/>
        </w:rPr>
        <w:t>台，中高风险安全阀</w:t>
      </w:r>
      <w:r>
        <w:rPr>
          <w:rFonts w:hint="eastAsia"/>
          <w:highlight w:val="none"/>
          <w:lang w:val="en-US" w:eastAsia="zh-CN"/>
        </w:rPr>
        <w:t>33</w:t>
      </w:r>
      <w:r>
        <w:rPr>
          <w:rFonts w:hint="eastAsia"/>
          <w:highlight w:val="none"/>
        </w:rPr>
        <w:t>台，中风险安全阀</w:t>
      </w:r>
      <w:r>
        <w:rPr>
          <w:rFonts w:hint="eastAsia"/>
          <w:highlight w:val="none"/>
          <w:lang w:val="en-US" w:eastAsia="zh-CN"/>
        </w:rPr>
        <w:t>27</w:t>
      </w:r>
      <w:r>
        <w:rPr>
          <w:rFonts w:hint="eastAsia"/>
          <w:highlight w:val="none"/>
        </w:rPr>
        <w:t>台，低风险安全阀4台。详细风险水平见附录2。</w:t>
      </w:r>
    </w:p>
    <w:p w14:paraId="19188681">
      <w:pPr>
        <w:autoSpaceDE w:val="0"/>
        <w:autoSpaceDN w:val="0"/>
        <w:spacing w:line="360" w:lineRule="auto"/>
        <w:jc w:val="center"/>
        <w:rPr>
          <w:rFonts w:hint="eastAsia" w:eastAsia="宋体"/>
          <w:highlight w:val="none"/>
          <w:lang w:eastAsia="zh-CN"/>
        </w:rPr>
      </w:pPr>
      <w:r>
        <w:rPr>
          <w:rFonts w:hint="eastAsia" w:eastAsia="宋体"/>
          <w:highlight w:val="none"/>
          <w:lang w:eastAsia="zh-CN"/>
        </w:rPr>
        <w:drawing>
          <wp:inline distT="0" distB="0" distL="114300" distR="114300">
            <wp:extent cx="5572125" cy="2538730"/>
            <wp:effectExtent l="0" t="0" r="1905" b="8255"/>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10"/>
                    <a:stretch>
                      <a:fillRect/>
                    </a:stretch>
                  </pic:blipFill>
                  <pic:spPr>
                    <a:xfrm>
                      <a:off x="0" y="0"/>
                      <a:ext cx="5572125" cy="2538730"/>
                    </a:xfrm>
                    <a:prstGeom prst="rect">
                      <a:avLst/>
                    </a:prstGeom>
                  </pic:spPr>
                </pic:pic>
              </a:graphicData>
            </a:graphic>
          </wp:inline>
        </w:drawing>
      </w:r>
    </w:p>
    <w:p w14:paraId="5CECC566">
      <w:pPr>
        <w:autoSpaceDE w:val="0"/>
        <w:autoSpaceDN w:val="0"/>
        <w:spacing w:line="360" w:lineRule="auto"/>
        <w:jc w:val="center"/>
        <w:rPr>
          <w:bCs/>
          <w:color w:val="000000"/>
          <w:highlight w:val="none"/>
        </w:rPr>
      </w:pPr>
      <w:r>
        <w:rPr>
          <w:rFonts w:hint="eastAsia"/>
          <w:bCs/>
          <w:color w:val="000000"/>
          <w:highlight w:val="none"/>
        </w:rPr>
        <w:t xml:space="preserve">图6-4   </w:t>
      </w:r>
      <w:r>
        <w:rPr>
          <w:bCs/>
          <w:color w:val="000000"/>
          <w:highlight w:val="none"/>
        </w:rPr>
        <w:t>4</w:t>
      </w:r>
      <w:r>
        <w:rPr>
          <w:rFonts w:hint="eastAsia"/>
          <w:bCs/>
          <w:color w:val="000000"/>
          <w:highlight w:val="none"/>
        </w:rPr>
        <w:t>年后安全阀风险分布图</w:t>
      </w:r>
    </w:p>
    <w:p w14:paraId="025DBF49">
      <w:pPr>
        <w:rPr>
          <w:highlight w:val="none"/>
        </w:rPr>
      </w:pPr>
      <w:r>
        <w:rPr>
          <w:rFonts w:hint="eastAsia"/>
          <w:highlight w:val="none"/>
        </w:rPr>
        <w:t>6.1.5  自校验日期</w:t>
      </w:r>
      <w:r>
        <w:rPr>
          <w:highlight w:val="none"/>
        </w:rPr>
        <w:t>5</w:t>
      </w:r>
      <w:r>
        <w:rPr>
          <w:rFonts w:hint="eastAsia"/>
          <w:highlight w:val="none"/>
        </w:rPr>
        <w:t>年后风险分布</w:t>
      </w:r>
    </w:p>
    <w:p w14:paraId="61801634">
      <w:pPr>
        <w:ind w:firstLine="420"/>
        <w:rPr>
          <w:highlight w:val="none"/>
        </w:rPr>
      </w:pPr>
      <w:r>
        <w:rPr>
          <w:highlight w:val="none"/>
        </w:rPr>
        <w:t>5</w:t>
      </w:r>
      <w:r>
        <w:rPr>
          <w:rFonts w:hint="eastAsia"/>
          <w:highlight w:val="none"/>
        </w:rPr>
        <w:t>年后安全阀风险分布情况如图6-5所示，从图中可以看出：高风险安全阀</w:t>
      </w:r>
      <w:r>
        <w:rPr>
          <w:rFonts w:hint="eastAsia"/>
          <w:highlight w:val="none"/>
          <w:lang w:val="en-US" w:eastAsia="zh-CN"/>
        </w:rPr>
        <w:t>6</w:t>
      </w:r>
      <w:r>
        <w:rPr>
          <w:rFonts w:hint="eastAsia"/>
          <w:highlight w:val="none"/>
        </w:rPr>
        <w:t>台，中高风险安全阀3</w:t>
      </w:r>
      <w:r>
        <w:rPr>
          <w:rFonts w:hint="eastAsia"/>
          <w:highlight w:val="none"/>
          <w:lang w:val="en-US" w:eastAsia="zh-CN"/>
        </w:rPr>
        <w:t>1</w:t>
      </w:r>
      <w:r>
        <w:rPr>
          <w:rFonts w:hint="eastAsia"/>
          <w:highlight w:val="none"/>
        </w:rPr>
        <w:t>台，中风险安全阀</w:t>
      </w:r>
      <w:r>
        <w:rPr>
          <w:rFonts w:hint="eastAsia"/>
          <w:highlight w:val="none"/>
          <w:lang w:val="en-US" w:eastAsia="zh-CN"/>
        </w:rPr>
        <w:t>30</w:t>
      </w:r>
      <w:r>
        <w:rPr>
          <w:rFonts w:hint="eastAsia"/>
          <w:highlight w:val="none"/>
        </w:rPr>
        <w:t>台，低风险安全阀1台。详细风险水平见附录2。</w:t>
      </w:r>
    </w:p>
    <w:p w14:paraId="09E0BC10">
      <w:pPr>
        <w:autoSpaceDE w:val="0"/>
        <w:autoSpaceDN w:val="0"/>
        <w:spacing w:line="360" w:lineRule="auto"/>
        <w:jc w:val="center"/>
        <w:rPr>
          <w:rFonts w:hint="eastAsia" w:eastAsia="宋体"/>
          <w:highlight w:val="none"/>
          <w:lang w:eastAsia="zh-CN"/>
        </w:rPr>
      </w:pPr>
      <w:r>
        <w:rPr>
          <w:rFonts w:hint="eastAsia" w:eastAsia="宋体"/>
          <w:highlight w:val="none"/>
          <w:lang w:eastAsia="zh-CN"/>
        </w:rPr>
        <w:drawing>
          <wp:inline distT="0" distB="0" distL="114300" distR="114300">
            <wp:extent cx="5572125" cy="2538730"/>
            <wp:effectExtent l="0" t="0" r="1905" b="8255"/>
            <wp:docPr id="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
                    <pic:cNvPicPr>
                      <a:picLocks noChangeAspect="1"/>
                    </pic:cNvPicPr>
                  </pic:nvPicPr>
                  <pic:blipFill>
                    <a:blip r:embed="rId11"/>
                    <a:stretch>
                      <a:fillRect/>
                    </a:stretch>
                  </pic:blipFill>
                  <pic:spPr>
                    <a:xfrm>
                      <a:off x="0" y="0"/>
                      <a:ext cx="5572125" cy="2538730"/>
                    </a:xfrm>
                    <a:prstGeom prst="rect">
                      <a:avLst/>
                    </a:prstGeom>
                  </pic:spPr>
                </pic:pic>
              </a:graphicData>
            </a:graphic>
          </wp:inline>
        </w:drawing>
      </w:r>
    </w:p>
    <w:p w14:paraId="0D9B5CE6">
      <w:pPr>
        <w:autoSpaceDE w:val="0"/>
        <w:autoSpaceDN w:val="0"/>
        <w:spacing w:line="360" w:lineRule="auto"/>
        <w:jc w:val="center"/>
        <w:rPr>
          <w:bCs/>
          <w:color w:val="000000"/>
          <w:highlight w:val="none"/>
        </w:rPr>
      </w:pPr>
      <w:r>
        <w:rPr>
          <w:rFonts w:hint="eastAsia"/>
          <w:bCs/>
          <w:color w:val="000000"/>
          <w:highlight w:val="none"/>
        </w:rPr>
        <w:t xml:space="preserve">图6-5   </w:t>
      </w:r>
      <w:r>
        <w:rPr>
          <w:bCs/>
          <w:color w:val="000000"/>
          <w:highlight w:val="none"/>
        </w:rPr>
        <w:t>5</w:t>
      </w:r>
      <w:r>
        <w:rPr>
          <w:rFonts w:hint="eastAsia"/>
          <w:bCs/>
          <w:color w:val="000000"/>
          <w:highlight w:val="none"/>
        </w:rPr>
        <w:t>年后安全阀风险分布图</w:t>
      </w:r>
    </w:p>
    <w:p w14:paraId="1C47A80B">
      <w:pPr>
        <w:pStyle w:val="3"/>
        <w:tabs>
          <w:tab w:val="left" w:pos="360"/>
          <w:tab w:val="clear" w:pos="480"/>
        </w:tabs>
        <w:spacing w:before="115" w:beforeLines="25" w:after="115" w:afterLines="25"/>
        <w:rPr>
          <w:bCs w:val="0"/>
          <w:color w:val="000000"/>
          <w:highlight w:val="none"/>
        </w:rPr>
      </w:pPr>
      <w:bookmarkStart w:id="43" w:name="_Toc185152211"/>
      <w:bookmarkStart w:id="44" w:name="_Toc98261476"/>
      <w:r>
        <w:rPr>
          <w:rFonts w:hint="eastAsia"/>
          <w:bCs w:val="0"/>
          <w:color w:val="000000"/>
          <w:szCs w:val="24"/>
          <w:highlight w:val="none"/>
        </w:rPr>
        <w:t xml:space="preserve">6.2 </w:t>
      </w:r>
      <w:r>
        <w:rPr>
          <w:color w:val="000000"/>
          <w:szCs w:val="24"/>
          <w:highlight w:val="none"/>
        </w:rPr>
        <w:t>风险</w:t>
      </w:r>
      <w:r>
        <w:rPr>
          <w:rFonts w:hint="eastAsia"/>
          <w:bCs w:val="0"/>
          <w:color w:val="000000"/>
          <w:szCs w:val="24"/>
          <w:highlight w:val="none"/>
        </w:rPr>
        <w:t>统计</w:t>
      </w:r>
      <w:bookmarkEnd w:id="43"/>
    </w:p>
    <w:p w14:paraId="0406623A">
      <w:pPr>
        <w:spacing w:line="360" w:lineRule="auto"/>
        <w:ind w:firstLine="420"/>
        <w:jc w:val="left"/>
        <w:rPr>
          <w:highlight w:val="none"/>
        </w:rPr>
      </w:pPr>
      <w:r>
        <w:rPr>
          <w:rFonts w:hint="eastAsia"/>
          <w:highlight w:val="none"/>
        </w:rPr>
        <w:t>本次所评30台安全阀的风险分布见表6</w:t>
      </w:r>
      <w:r>
        <w:rPr>
          <w:highlight w:val="none"/>
        </w:rPr>
        <w:t>-1~6-5</w:t>
      </w:r>
      <w:r>
        <w:rPr>
          <w:rFonts w:hint="eastAsia"/>
          <w:highlight w:val="none"/>
        </w:rPr>
        <w:t>。</w:t>
      </w:r>
    </w:p>
    <w:p w14:paraId="19D48CC9">
      <w:pPr>
        <w:spacing w:line="360" w:lineRule="auto"/>
        <w:jc w:val="center"/>
        <w:rPr>
          <w:highlight w:val="none"/>
        </w:rPr>
      </w:pPr>
      <w:r>
        <w:rPr>
          <w:rFonts w:hint="eastAsia"/>
          <w:highlight w:val="none"/>
        </w:rPr>
        <w:t>表6-1  安全阀</w:t>
      </w:r>
      <w:r>
        <w:rPr>
          <w:highlight w:val="none"/>
        </w:rPr>
        <w:t>1</w:t>
      </w:r>
      <w:r>
        <w:rPr>
          <w:rFonts w:hint="eastAsia"/>
          <w:highlight w:val="none"/>
        </w:rPr>
        <w:t>年后风险等级结果</w:t>
      </w:r>
    </w:p>
    <w:tbl>
      <w:tblPr>
        <w:tblStyle w:val="30"/>
        <w:tblW w:w="7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07"/>
        <w:gridCol w:w="1382"/>
        <w:gridCol w:w="1609"/>
        <w:gridCol w:w="1609"/>
        <w:gridCol w:w="1609"/>
      </w:tblGrid>
      <w:tr w14:paraId="57B7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107" w:type="dxa"/>
            <w:tcMar>
              <w:top w:w="14" w:type="dxa"/>
              <w:left w:w="14" w:type="dxa"/>
              <w:bottom w:w="0" w:type="dxa"/>
              <w:right w:w="14" w:type="dxa"/>
            </w:tcMar>
            <w:vAlign w:val="center"/>
          </w:tcPr>
          <w:p w14:paraId="0A29CCFF">
            <w:pPr>
              <w:widowControl/>
              <w:jc w:val="center"/>
              <w:textAlignment w:val="center"/>
              <w:rPr>
                <w:rFonts w:cs="宋体"/>
                <w:kern w:val="0"/>
                <w:highlight w:val="none"/>
              </w:rPr>
            </w:pPr>
            <w:r>
              <w:rPr>
                <w:rFonts w:hint="eastAsia" w:ascii="宋体" w:hAnsi="宋体" w:cs="宋体"/>
                <w:color w:val="000000"/>
                <w:kern w:val="0"/>
                <w:highlight w:val="none"/>
                <w:lang w:bidi="ar"/>
              </w:rPr>
              <w:t>风险等级</w:t>
            </w:r>
          </w:p>
        </w:tc>
        <w:tc>
          <w:tcPr>
            <w:tcW w:w="1382" w:type="dxa"/>
            <w:tcBorders>
              <w:bottom w:val="single" w:color="auto" w:sz="4" w:space="0"/>
            </w:tcBorders>
            <w:tcMar>
              <w:top w:w="14" w:type="dxa"/>
              <w:left w:w="14" w:type="dxa"/>
              <w:bottom w:w="0" w:type="dxa"/>
              <w:right w:w="14" w:type="dxa"/>
            </w:tcMar>
            <w:vAlign w:val="center"/>
          </w:tcPr>
          <w:p w14:paraId="00A9FB2D">
            <w:pPr>
              <w:widowControl/>
              <w:jc w:val="center"/>
              <w:textAlignment w:val="center"/>
              <w:rPr>
                <w:rFonts w:cs="宋体"/>
                <w:kern w:val="0"/>
                <w:highlight w:val="none"/>
              </w:rPr>
            </w:pPr>
            <w:r>
              <w:rPr>
                <w:rFonts w:hint="eastAsia" w:ascii="宋体" w:hAnsi="宋体" w:cs="宋体"/>
                <w:color w:val="000000"/>
                <w:kern w:val="0"/>
                <w:highlight w:val="none"/>
                <w:lang w:bidi="ar"/>
              </w:rPr>
              <w:t>高风险</w:t>
            </w:r>
          </w:p>
        </w:tc>
        <w:tc>
          <w:tcPr>
            <w:tcW w:w="1609" w:type="dxa"/>
            <w:tcBorders>
              <w:bottom w:val="single" w:color="auto" w:sz="4" w:space="0"/>
            </w:tcBorders>
            <w:tcMar>
              <w:top w:w="14" w:type="dxa"/>
              <w:left w:w="14" w:type="dxa"/>
              <w:bottom w:w="0" w:type="dxa"/>
              <w:right w:w="14" w:type="dxa"/>
            </w:tcMar>
            <w:vAlign w:val="center"/>
          </w:tcPr>
          <w:p w14:paraId="1415AB17">
            <w:pPr>
              <w:widowControl/>
              <w:jc w:val="center"/>
              <w:textAlignment w:val="center"/>
              <w:rPr>
                <w:rFonts w:cs="宋体"/>
                <w:kern w:val="0"/>
                <w:highlight w:val="none"/>
              </w:rPr>
            </w:pPr>
            <w:r>
              <w:rPr>
                <w:rFonts w:hint="eastAsia" w:ascii="宋体" w:hAnsi="宋体" w:cs="宋体"/>
                <w:color w:val="000000"/>
                <w:kern w:val="0"/>
                <w:highlight w:val="none"/>
                <w:lang w:bidi="ar"/>
              </w:rPr>
              <w:t>中高风险</w:t>
            </w:r>
          </w:p>
        </w:tc>
        <w:tc>
          <w:tcPr>
            <w:tcW w:w="1609" w:type="dxa"/>
            <w:tcBorders>
              <w:bottom w:val="single" w:color="auto" w:sz="4" w:space="0"/>
            </w:tcBorders>
            <w:tcMar>
              <w:top w:w="14" w:type="dxa"/>
              <w:left w:w="14" w:type="dxa"/>
              <w:bottom w:w="0" w:type="dxa"/>
              <w:right w:w="14" w:type="dxa"/>
            </w:tcMar>
            <w:vAlign w:val="center"/>
          </w:tcPr>
          <w:p w14:paraId="1E515E9C">
            <w:pPr>
              <w:widowControl/>
              <w:jc w:val="center"/>
              <w:textAlignment w:val="center"/>
              <w:rPr>
                <w:rFonts w:cs="宋体"/>
                <w:kern w:val="0"/>
                <w:highlight w:val="none"/>
              </w:rPr>
            </w:pPr>
            <w:r>
              <w:rPr>
                <w:rFonts w:hint="eastAsia" w:ascii="宋体" w:hAnsi="宋体" w:cs="宋体"/>
                <w:color w:val="000000"/>
                <w:kern w:val="0"/>
                <w:highlight w:val="none"/>
                <w:lang w:bidi="ar"/>
              </w:rPr>
              <w:t>中风险</w:t>
            </w:r>
          </w:p>
        </w:tc>
        <w:tc>
          <w:tcPr>
            <w:tcW w:w="1609" w:type="dxa"/>
            <w:tcBorders>
              <w:bottom w:val="single" w:color="auto" w:sz="4" w:space="0"/>
            </w:tcBorders>
            <w:tcMar>
              <w:top w:w="14" w:type="dxa"/>
              <w:left w:w="14" w:type="dxa"/>
              <w:bottom w:w="0" w:type="dxa"/>
              <w:right w:w="14" w:type="dxa"/>
            </w:tcMar>
            <w:vAlign w:val="center"/>
          </w:tcPr>
          <w:p w14:paraId="32A75011">
            <w:pPr>
              <w:widowControl/>
              <w:jc w:val="center"/>
              <w:textAlignment w:val="center"/>
              <w:rPr>
                <w:rFonts w:cs="宋体"/>
                <w:kern w:val="0"/>
                <w:highlight w:val="none"/>
              </w:rPr>
            </w:pPr>
            <w:r>
              <w:rPr>
                <w:rFonts w:hint="eastAsia" w:ascii="宋体" w:hAnsi="宋体" w:cs="宋体"/>
                <w:color w:val="000000"/>
                <w:kern w:val="0"/>
                <w:highlight w:val="none"/>
                <w:lang w:bidi="ar"/>
              </w:rPr>
              <w:t>低风险</w:t>
            </w:r>
          </w:p>
        </w:tc>
      </w:tr>
      <w:tr w14:paraId="45B2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107" w:type="dxa"/>
            <w:tcMar>
              <w:top w:w="14" w:type="dxa"/>
              <w:left w:w="14" w:type="dxa"/>
              <w:bottom w:w="0" w:type="dxa"/>
              <w:right w:w="14" w:type="dxa"/>
            </w:tcMar>
            <w:vAlign w:val="center"/>
          </w:tcPr>
          <w:p w14:paraId="30DD3FBB">
            <w:pPr>
              <w:widowControl/>
              <w:jc w:val="center"/>
              <w:textAlignment w:val="center"/>
              <w:rPr>
                <w:rFonts w:cs="宋体"/>
                <w:kern w:val="0"/>
                <w:highlight w:val="none"/>
              </w:rPr>
            </w:pPr>
            <w:r>
              <w:rPr>
                <w:rFonts w:hint="eastAsia" w:ascii="宋体" w:hAnsi="宋体" w:cs="宋体"/>
                <w:color w:val="000000"/>
                <w:kern w:val="0"/>
                <w:highlight w:val="none"/>
                <w:lang w:bidi="ar"/>
              </w:rPr>
              <w:t>数量</w:t>
            </w:r>
          </w:p>
        </w:tc>
        <w:tc>
          <w:tcPr>
            <w:tcW w:w="1382"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32E2B19D">
            <w:pPr>
              <w:keepNext w:val="0"/>
              <w:keepLines w:val="0"/>
              <w:widowControl/>
              <w:suppressLineNumbers w:val="0"/>
              <w:jc w:val="center"/>
              <w:textAlignment w:val="center"/>
              <w:rPr>
                <w:rFonts w:cs="宋体"/>
                <w:color w:val="000000"/>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DC4B538">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E68EF60">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AB3FB08">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r>
      <w:tr w14:paraId="192E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107" w:type="dxa"/>
            <w:vAlign w:val="center"/>
          </w:tcPr>
          <w:p w14:paraId="656DD4BC">
            <w:pPr>
              <w:widowControl/>
              <w:jc w:val="center"/>
              <w:textAlignment w:val="center"/>
              <w:rPr>
                <w:rFonts w:cs="宋体"/>
                <w:kern w:val="0"/>
                <w:highlight w:val="none"/>
              </w:rPr>
            </w:pPr>
            <w:r>
              <w:rPr>
                <w:rFonts w:hint="eastAsia" w:ascii="宋体" w:hAnsi="宋体" w:cs="宋体"/>
                <w:color w:val="000000"/>
                <w:kern w:val="0"/>
                <w:highlight w:val="none"/>
                <w:lang w:bidi="ar"/>
              </w:rPr>
              <w:t>比例</w:t>
            </w:r>
          </w:p>
        </w:tc>
        <w:tc>
          <w:tcPr>
            <w:tcW w:w="1382"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41870A36">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2.94%</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49F9241">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28BAC33F">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42.65%</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1FE116A3">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bl>
    <w:p w14:paraId="1E8F2219">
      <w:pPr>
        <w:spacing w:line="360" w:lineRule="auto"/>
        <w:jc w:val="center"/>
        <w:rPr>
          <w:highlight w:val="none"/>
        </w:rPr>
      </w:pPr>
      <w:r>
        <w:rPr>
          <w:rFonts w:hint="eastAsia"/>
          <w:highlight w:val="none"/>
        </w:rPr>
        <w:t>表6-2  安全阀</w:t>
      </w:r>
      <w:r>
        <w:rPr>
          <w:highlight w:val="none"/>
        </w:rPr>
        <w:t>2</w:t>
      </w:r>
      <w:r>
        <w:rPr>
          <w:rFonts w:hint="eastAsia"/>
          <w:highlight w:val="none"/>
        </w:rPr>
        <w:t>年后风险等级结果</w:t>
      </w:r>
    </w:p>
    <w:tbl>
      <w:tblPr>
        <w:tblStyle w:val="30"/>
        <w:tblW w:w="7316" w:type="dxa"/>
        <w:jc w:val="center"/>
        <w:tblLayout w:type="autofit"/>
        <w:tblCellMar>
          <w:top w:w="0" w:type="dxa"/>
          <w:left w:w="0" w:type="dxa"/>
          <w:bottom w:w="0" w:type="dxa"/>
          <w:right w:w="0" w:type="dxa"/>
        </w:tblCellMar>
      </w:tblPr>
      <w:tblGrid>
        <w:gridCol w:w="1107"/>
        <w:gridCol w:w="1382"/>
        <w:gridCol w:w="1609"/>
        <w:gridCol w:w="1609"/>
        <w:gridCol w:w="1609"/>
      </w:tblGrid>
      <w:tr w14:paraId="0A9DD5E2">
        <w:tblPrEx>
          <w:tblCellMar>
            <w:top w:w="0" w:type="dxa"/>
            <w:left w:w="0" w:type="dxa"/>
            <w:bottom w:w="0" w:type="dxa"/>
            <w:right w:w="0" w:type="dxa"/>
          </w:tblCellMar>
        </w:tblPrEx>
        <w:trPr>
          <w:trHeight w:val="495" w:hRule="atLeast"/>
          <w:jc w:val="center"/>
        </w:trPr>
        <w:tc>
          <w:tcPr>
            <w:tcW w:w="1107" w:type="dxa"/>
            <w:tcBorders>
              <w:top w:val="single" w:color="000000" w:sz="4" w:space="0"/>
              <w:left w:val="single" w:color="000000" w:sz="4" w:space="0"/>
              <w:bottom w:val="single" w:color="000000" w:sz="4" w:space="0"/>
              <w:right w:val="single" w:color="000000" w:sz="4" w:space="0"/>
            </w:tcBorders>
            <w:tcMar>
              <w:top w:w="14" w:type="dxa"/>
              <w:left w:w="14" w:type="dxa"/>
              <w:bottom w:w="0" w:type="dxa"/>
              <w:right w:w="14" w:type="dxa"/>
            </w:tcMar>
            <w:vAlign w:val="center"/>
          </w:tcPr>
          <w:p w14:paraId="741BD638">
            <w:pPr>
              <w:widowControl/>
              <w:jc w:val="center"/>
              <w:textAlignment w:val="center"/>
              <w:rPr>
                <w:rFonts w:cs="宋体"/>
                <w:kern w:val="0"/>
                <w:highlight w:val="none"/>
              </w:rPr>
            </w:pPr>
            <w:r>
              <w:rPr>
                <w:rFonts w:hint="eastAsia" w:ascii="宋体" w:hAnsi="宋体" w:cs="宋体"/>
                <w:color w:val="000000"/>
                <w:kern w:val="0"/>
                <w:highlight w:val="none"/>
                <w:lang w:bidi="ar"/>
              </w:rPr>
              <w:t>风险等级</w:t>
            </w:r>
          </w:p>
        </w:tc>
        <w:tc>
          <w:tcPr>
            <w:tcW w:w="1382"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6AF62AF0">
            <w:pPr>
              <w:widowControl/>
              <w:jc w:val="center"/>
              <w:textAlignment w:val="center"/>
              <w:rPr>
                <w:rFonts w:cs="宋体"/>
                <w:kern w:val="0"/>
                <w:highlight w:val="none"/>
              </w:rPr>
            </w:pPr>
            <w:r>
              <w:rPr>
                <w:rFonts w:hint="eastAsia" w:ascii="宋体" w:hAnsi="宋体" w:cs="宋体"/>
                <w:color w:val="000000"/>
                <w:kern w:val="0"/>
                <w:highlight w:val="none"/>
                <w:lang w:bidi="ar"/>
              </w:rPr>
              <w:t>高风险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00DA1820">
            <w:pPr>
              <w:widowControl/>
              <w:jc w:val="center"/>
              <w:textAlignment w:val="center"/>
              <w:rPr>
                <w:rFonts w:cs="宋体"/>
                <w:kern w:val="0"/>
                <w:highlight w:val="none"/>
              </w:rPr>
            </w:pPr>
            <w:r>
              <w:rPr>
                <w:rFonts w:hint="eastAsia" w:ascii="宋体" w:hAnsi="宋体" w:cs="宋体"/>
                <w:color w:val="000000"/>
                <w:kern w:val="0"/>
                <w:highlight w:val="none"/>
                <w:lang w:bidi="ar"/>
              </w:rPr>
              <w:t>中高风险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49DC3C7F">
            <w:pPr>
              <w:widowControl/>
              <w:jc w:val="center"/>
              <w:textAlignment w:val="center"/>
              <w:rPr>
                <w:rFonts w:cs="宋体"/>
                <w:kern w:val="0"/>
                <w:highlight w:val="none"/>
              </w:rPr>
            </w:pPr>
            <w:r>
              <w:rPr>
                <w:rFonts w:hint="eastAsia" w:ascii="宋体" w:hAnsi="宋体" w:cs="宋体"/>
                <w:color w:val="000000"/>
                <w:kern w:val="0"/>
                <w:highlight w:val="none"/>
                <w:lang w:bidi="ar"/>
              </w:rPr>
              <w:t>中风险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2109A8CF">
            <w:pPr>
              <w:widowControl/>
              <w:jc w:val="center"/>
              <w:textAlignment w:val="center"/>
              <w:rPr>
                <w:rFonts w:cs="宋体"/>
                <w:kern w:val="0"/>
                <w:highlight w:val="none"/>
              </w:rPr>
            </w:pPr>
            <w:r>
              <w:rPr>
                <w:rFonts w:hint="eastAsia" w:ascii="宋体" w:hAnsi="宋体" w:cs="宋体"/>
                <w:color w:val="000000"/>
                <w:kern w:val="0"/>
                <w:highlight w:val="none"/>
                <w:lang w:bidi="ar"/>
              </w:rPr>
              <w:t>低风险</w:t>
            </w:r>
          </w:p>
        </w:tc>
      </w:tr>
      <w:tr w14:paraId="6798D4D9">
        <w:tblPrEx>
          <w:tblCellMar>
            <w:top w:w="0" w:type="dxa"/>
            <w:left w:w="0" w:type="dxa"/>
            <w:bottom w:w="0" w:type="dxa"/>
            <w:right w:w="0" w:type="dxa"/>
          </w:tblCellMar>
        </w:tblPrEx>
        <w:trPr>
          <w:trHeight w:val="505" w:hRule="atLeast"/>
          <w:jc w:val="center"/>
        </w:trPr>
        <w:tc>
          <w:tcPr>
            <w:tcW w:w="1107" w:type="dxa"/>
            <w:tcBorders>
              <w:top w:val="single" w:color="000000" w:sz="4" w:space="0"/>
              <w:left w:val="single" w:color="000000" w:sz="4" w:space="0"/>
              <w:bottom w:val="single" w:color="000000" w:sz="4" w:space="0"/>
              <w:right w:val="single" w:color="auto" w:sz="4" w:space="0"/>
            </w:tcBorders>
            <w:tcMar>
              <w:top w:w="14" w:type="dxa"/>
              <w:left w:w="14" w:type="dxa"/>
              <w:bottom w:w="0" w:type="dxa"/>
              <w:right w:w="14" w:type="dxa"/>
            </w:tcMar>
            <w:vAlign w:val="center"/>
          </w:tcPr>
          <w:p w14:paraId="6422F9EB">
            <w:pPr>
              <w:widowControl/>
              <w:jc w:val="center"/>
              <w:textAlignment w:val="center"/>
              <w:rPr>
                <w:rFonts w:cs="宋体"/>
                <w:kern w:val="0"/>
                <w:highlight w:val="none"/>
              </w:rPr>
            </w:pPr>
            <w:r>
              <w:rPr>
                <w:rFonts w:hint="eastAsia" w:ascii="宋体" w:hAnsi="宋体" w:cs="宋体"/>
                <w:color w:val="000000"/>
                <w:kern w:val="0"/>
                <w:highlight w:val="none"/>
                <w:lang w:bidi="ar"/>
              </w:rPr>
              <w:t>数量</w:t>
            </w:r>
          </w:p>
        </w:tc>
        <w:tc>
          <w:tcPr>
            <w:tcW w:w="1382"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2CDA9CC4">
            <w:pPr>
              <w:keepNext w:val="0"/>
              <w:keepLines w:val="0"/>
              <w:widowControl/>
              <w:suppressLineNumbers w:val="0"/>
              <w:jc w:val="center"/>
              <w:textAlignment w:val="center"/>
              <w:rPr>
                <w:rFonts w:cs="宋体"/>
                <w:color w:val="000000"/>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9BCD05C">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B924C5D">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68857AF">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r>
      <w:tr w14:paraId="17B79FFC">
        <w:tblPrEx>
          <w:tblCellMar>
            <w:top w:w="0" w:type="dxa"/>
            <w:left w:w="0" w:type="dxa"/>
            <w:bottom w:w="0" w:type="dxa"/>
            <w:right w:w="0" w:type="dxa"/>
          </w:tblCellMar>
        </w:tblPrEx>
        <w:trPr>
          <w:trHeight w:val="514" w:hRule="atLeast"/>
          <w:jc w:val="center"/>
        </w:trPr>
        <w:tc>
          <w:tcPr>
            <w:tcW w:w="1107" w:type="dxa"/>
            <w:tcBorders>
              <w:top w:val="single" w:color="000000" w:sz="4" w:space="0"/>
              <w:left w:val="single" w:color="000000" w:sz="4" w:space="0"/>
              <w:bottom w:val="single" w:color="000000" w:sz="4" w:space="0"/>
              <w:right w:val="single" w:color="auto" w:sz="4" w:space="0"/>
            </w:tcBorders>
            <w:vAlign w:val="center"/>
          </w:tcPr>
          <w:p w14:paraId="6D2A87D5">
            <w:pPr>
              <w:widowControl/>
              <w:jc w:val="center"/>
              <w:textAlignment w:val="center"/>
              <w:rPr>
                <w:rFonts w:cs="宋体"/>
                <w:kern w:val="0"/>
                <w:highlight w:val="none"/>
              </w:rPr>
            </w:pPr>
            <w:r>
              <w:rPr>
                <w:rFonts w:hint="eastAsia" w:ascii="宋体" w:hAnsi="宋体" w:cs="宋体"/>
                <w:color w:val="000000"/>
                <w:kern w:val="0"/>
                <w:highlight w:val="none"/>
                <w:lang w:bidi="ar"/>
              </w:rPr>
              <w:t>比例</w:t>
            </w:r>
          </w:p>
        </w:tc>
        <w:tc>
          <w:tcPr>
            <w:tcW w:w="1382"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13A9F203">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2.94%</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9B62BD6">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CBCAD46">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42.65%</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4D502C12">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bl>
    <w:p w14:paraId="7A813A2B">
      <w:pPr>
        <w:spacing w:line="360" w:lineRule="auto"/>
        <w:jc w:val="center"/>
        <w:rPr>
          <w:highlight w:val="none"/>
        </w:rPr>
      </w:pPr>
      <w:r>
        <w:rPr>
          <w:rFonts w:hint="eastAsia"/>
          <w:highlight w:val="none"/>
        </w:rPr>
        <w:t>表6-3  安全阀</w:t>
      </w:r>
      <w:r>
        <w:rPr>
          <w:highlight w:val="none"/>
        </w:rPr>
        <w:t>3</w:t>
      </w:r>
      <w:r>
        <w:rPr>
          <w:rFonts w:hint="eastAsia"/>
          <w:highlight w:val="none"/>
        </w:rPr>
        <w:t>年后风险等级结果</w:t>
      </w:r>
    </w:p>
    <w:tbl>
      <w:tblPr>
        <w:tblStyle w:val="30"/>
        <w:tblW w:w="7316" w:type="dxa"/>
        <w:jc w:val="center"/>
        <w:tblLayout w:type="autofit"/>
        <w:tblCellMar>
          <w:top w:w="0" w:type="dxa"/>
          <w:left w:w="0" w:type="dxa"/>
          <w:bottom w:w="0" w:type="dxa"/>
          <w:right w:w="0" w:type="dxa"/>
        </w:tblCellMar>
      </w:tblPr>
      <w:tblGrid>
        <w:gridCol w:w="1107"/>
        <w:gridCol w:w="1382"/>
        <w:gridCol w:w="1609"/>
        <w:gridCol w:w="1609"/>
        <w:gridCol w:w="1609"/>
      </w:tblGrid>
      <w:tr w14:paraId="04DE1326">
        <w:tblPrEx>
          <w:tblCellMar>
            <w:top w:w="0" w:type="dxa"/>
            <w:left w:w="0" w:type="dxa"/>
            <w:bottom w:w="0" w:type="dxa"/>
            <w:right w:w="0" w:type="dxa"/>
          </w:tblCellMar>
        </w:tblPrEx>
        <w:trPr>
          <w:trHeight w:val="495" w:hRule="atLeast"/>
          <w:jc w:val="center"/>
        </w:trPr>
        <w:tc>
          <w:tcPr>
            <w:tcW w:w="1107" w:type="dxa"/>
            <w:tcBorders>
              <w:top w:val="single" w:color="000000" w:sz="4" w:space="0"/>
              <w:left w:val="single" w:color="000000" w:sz="4" w:space="0"/>
              <w:bottom w:val="single" w:color="000000" w:sz="4" w:space="0"/>
              <w:right w:val="single" w:color="000000" w:sz="4" w:space="0"/>
            </w:tcBorders>
            <w:tcMar>
              <w:top w:w="14" w:type="dxa"/>
              <w:left w:w="14" w:type="dxa"/>
              <w:bottom w:w="0" w:type="dxa"/>
              <w:right w:w="14" w:type="dxa"/>
            </w:tcMar>
            <w:vAlign w:val="center"/>
          </w:tcPr>
          <w:p w14:paraId="4AA18998">
            <w:pPr>
              <w:widowControl/>
              <w:jc w:val="center"/>
              <w:textAlignment w:val="center"/>
              <w:rPr>
                <w:rFonts w:cs="宋体"/>
                <w:kern w:val="0"/>
                <w:highlight w:val="none"/>
              </w:rPr>
            </w:pPr>
            <w:r>
              <w:rPr>
                <w:rFonts w:hint="eastAsia" w:ascii="宋体" w:hAnsi="宋体" w:cs="宋体"/>
                <w:color w:val="000000"/>
                <w:kern w:val="0"/>
                <w:highlight w:val="none"/>
                <w:lang w:bidi="ar"/>
              </w:rPr>
              <w:t>风险等级</w:t>
            </w:r>
          </w:p>
        </w:tc>
        <w:tc>
          <w:tcPr>
            <w:tcW w:w="1382"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32285D5E">
            <w:pPr>
              <w:widowControl/>
              <w:jc w:val="center"/>
              <w:textAlignment w:val="center"/>
              <w:rPr>
                <w:rFonts w:cs="宋体"/>
                <w:kern w:val="0"/>
                <w:highlight w:val="none"/>
              </w:rPr>
            </w:pPr>
            <w:r>
              <w:rPr>
                <w:rFonts w:hint="eastAsia" w:ascii="宋体" w:hAnsi="宋体" w:cs="宋体"/>
                <w:color w:val="000000"/>
                <w:kern w:val="0"/>
                <w:highlight w:val="none"/>
                <w:lang w:bidi="ar"/>
              </w:rPr>
              <w:t>高风险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5192AE1F">
            <w:pPr>
              <w:widowControl/>
              <w:jc w:val="center"/>
              <w:textAlignment w:val="center"/>
              <w:rPr>
                <w:rFonts w:cs="宋体"/>
                <w:kern w:val="0"/>
                <w:highlight w:val="none"/>
              </w:rPr>
            </w:pPr>
            <w:r>
              <w:rPr>
                <w:rFonts w:hint="eastAsia" w:ascii="宋体" w:hAnsi="宋体" w:cs="宋体"/>
                <w:color w:val="000000"/>
                <w:kern w:val="0"/>
                <w:highlight w:val="none"/>
                <w:lang w:bidi="ar"/>
              </w:rPr>
              <w:t>中高风险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032EC657">
            <w:pPr>
              <w:widowControl/>
              <w:jc w:val="center"/>
              <w:textAlignment w:val="center"/>
              <w:rPr>
                <w:rFonts w:cs="宋体"/>
                <w:kern w:val="0"/>
                <w:highlight w:val="none"/>
              </w:rPr>
            </w:pPr>
            <w:r>
              <w:rPr>
                <w:rFonts w:hint="eastAsia" w:ascii="宋体" w:hAnsi="宋体" w:cs="宋体"/>
                <w:color w:val="000000"/>
                <w:kern w:val="0"/>
                <w:highlight w:val="none"/>
                <w:lang w:bidi="ar"/>
              </w:rPr>
              <w:t>中风险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347B9A60">
            <w:pPr>
              <w:widowControl/>
              <w:jc w:val="center"/>
              <w:textAlignment w:val="center"/>
              <w:rPr>
                <w:rFonts w:cs="宋体"/>
                <w:kern w:val="0"/>
                <w:highlight w:val="none"/>
              </w:rPr>
            </w:pPr>
            <w:r>
              <w:rPr>
                <w:rFonts w:hint="eastAsia" w:ascii="宋体" w:hAnsi="宋体" w:cs="宋体"/>
                <w:color w:val="000000"/>
                <w:kern w:val="0"/>
                <w:highlight w:val="none"/>
                <w:lang w:bidi="ar"/>
              </w:rPr>
              <w:t>低风险</w:t>
            </w:r>
          </w:p>
        </w:tc>
      </w:tr>
      <w:tr w14:paraId="295B4B8E">
        <w:tblPrEx>
          <w:tblCellMar>
            <w:top w:w="0" w:type="dxa"/>
            <w:left w:w="0" w:type="dxa"/>
            <w:bottom w:w="0" w:type="dxa"/>
            <w:right w:w="0" w:type="dxa"/>
          </w:tblCellMar>
        </w:tblPrEx>
        <w:trPr>
          <w:trHeight w:val="505" w:hRule="atLeast"/>
          <w:jc w:val="center"/>
        </w:trPr>
        <w:tc>
          <w:tcPr>
            <w:tcW w:w="1107" w:type="dxa"/>
            <w:tcBorders>
              <w:top w:val="single" w:color="000000" w:sz="4" w:space="0"/>
              <w:left w:val="single" w:color="000000" w:sz="4" w:space="0"/>
              <w:bottom w:val="single" w:color="000000" w:sz="4" w:space="0"/>
              <w:right w:val="single" w:color="auto" w:sz="4" w:space="0"/>
            </w:tcBorders>
            <w:tcMar>
              <w:top w:w="14" w:type="dxa"/>
              <w:left w:w="14" w:type="dxa"/>
              <w:bottom w:w="0" w:type="dxa"/>
              <w:right w:w="14" w:type="dxa"/>
            </w:tcMar>
            <w:vAlign w:val="center"/>
          </w:tcPr>
          <w:p w14:paraId="56913ABF">
            <w:pPr>
              <w:widowControl/>
              <w:jc w:val="center"/>
              <w:textAlignment w:val="center"/>
              <w:rPr>
                <w:rFonts w:cs="宋体"/>
                <w:kern w:val="0"/>
                <w:highlight w:val="none"/>
              </w:rPr>
            </w:pPr>
            <w:r>
              <w:rPr>
                <w:rFonts w:hint="eastAsia" w:ascii="宋体" w:hAnsi="宋体" w:cs="宋体"/>
                <w:color w:val="000000"/>
                <w:kern w:val="0"/>
                <w:highlight w:val="none"/>
                <w:lang w:bidi="ar"/>
              </w:rPr>
              <w:t>数量</w:t>
            </w:r>
          </w:p>
        </w:tc>
        <w:tc>
          <w:tcPr>
            <w:tcW w:w="1382"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1C879618">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1895CEFE">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4632A98F">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27</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209FB123">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r>
      <w:tr w14:paraId="0DE8DD98">
        <w:tblPrEx>
          <w:tblCellMar>
            <w:top w:w="0" w:type="dxa"/>
            <w:left w:w="0" w:type="dxa"/>
            <w:bottom w:w="0" w:type="dxa"/>
            <w:right w:w="0" w:type="dxa"/>
          </w:tblCellMar>
        </w:tblPrEx>
        <w:trPr>
          <w:trHeight w:val="514" w:hRule="atLeast"/>
          <w:jc w:val="center"/>
        </w:trPr>
        <w:tc>
          <w:tcPr>
            <w:tcW w:w="1107" w:type="dxa"/>
            <w:tcBorders>
              <w:top w:val="single" w:color="000000" w:sz="4" w:space="0"/>
              <w:left w:val="single" w:color="000000" w:sz="4" w:space="0"/>
              <w:bottom w:val="single" w:color="000000" w:sz="4" w:space="0"/>
              <w:right w:val="single" w:color="auto" w:sz="4" w:space="0"/>
            </w:tcBorders>
            <w:vAlign w:val="center"/>
          </w:tcPr>
          <w:p w14:paraId="2E6E5723">
            <w:pPr>
              <w:widowControl/>
              <w:jc w:val="center"/>
              <w:textAlignment w:val="center"/>
              <w:rPr>
                <w:rFonts w:cs="宋体"/>
                <w:kern w:val="0"/>
                <w:highlight w:val="none"/>
              </w:rPr>
            </w:pPr>
            <w:r>
              <w:rPr>
                <w:rFonts w:hint="eastAsia" w:ascii="宋体" w:hAnsi="宋体" w:cs="宋体"/>
                <w:color w:val="000000"/>
                <w:kern w:val="0"/>
                <w:highlight w:val="none"/>
                <w:lang w:bidi="ar"/>
              </w:rPr>
              <w:t>比例</w:t>
            </w:r>
          </w:p>
        </w:tc>
        <w:tc>
          <w:tcPr>
            <w:tcW w:w="1382"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A11974E">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6FE67103">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68A6C95">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39.71%</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77490EE">
            <w:pPr>
              <w:keepNext w:val="0"/>
              <w:keepLines w:val="0"/>
              <w:widowControl/>
              <w:suppressLineNumbers w:val="0"/>
              <w:jc w:val="center"/>
              <w:textAlignment w:val="center"/>
              <w:rPr>
                <w:color w:val="000000"/>
                <w:sz w:val="22"/>
                <w:szCs w:val="22"/>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bl>
    <w:p w14:paraId="3989CF9C">
      <w:pPr>
        <w:spacing w:line="360" w:lineRule="auto"/>
        <w:jc w:val="center"/>
        <w:rPr>
          <w:highlight w:val="none"/>
        </w:rPr>
      </w:pPr>
      <w:r>
        <w:rPr>
          <w:rFonts w:hint="eastAsia"/>
          <w:highlight w:val="none"/>
        </w:rPr>
        <w:t>表6-4  安全阀</w:t>
      </w:r>
      <w:r>
        <w:rPr>
          <w:highlight w:val="none"/>
        </w:rPr>
        <w:t>4</w:t>
      </w:r>
      <w:r>
        <w:rPr>
          <w:rFonts w:hint="eastAsia"/>
          <w:highlight w:val="none"/>
        </w:rPr>
        <w:t>年后风险等级结果</w:t>
      </w:r>
    </w:p>
    <w:tbl>
      <w:tblPr>
        <w:tblStyle w:val="30"/>
        <w:tblW w:w="7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07"/>
        <w:gridCol w:w="1382"/>
        <w:gridCol w:w="1609"/>
        <w:gridCol w:w="1609"/>
        <w:gridCol w:w="1609"/>
      </w:tblGrid>
      <w:tr w14:paraId="2EA5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107" w:type="dxa"/>
            <w:tcMar>
              <w:top w:w="14" w:type="dxa"/>
              <w:left w:w="14" w:type="dxa"/>
              <w:bottom w:w="0" w:type="dxa"/>
              <w:right w:w="14" w:type="dxa"/>
            </w:tcMar>
            <w:vAlign w:val="center"/>
          </w:tcPr>
          <w:p w14:paraId="76EE60C5">
            <w:pPr>
              <w:widowControl/>
              <w:jc w:val="center"/>
              <w:textAlignment w:val="center"/>
              <w:rPr>
                <w:rFonts w:cs="宋体"/>
                <w:kern w:val="0"/>
                <w:highlight w:val="none"/>
              </w:rPr>
            </w:pPr>
            <w:r>
              <w:rPr>
                <w:rFonts w:hint="eastAsia" w:ascii="宋体" w:hAnsi="宋体" w:cs="宋体"/>
                <w:color w:val="000000"/>
                <w:kern w:val="0"/>
                <w:highlight w:val="none"/>
                <w:lang w:bidi="ar"/>
              </w:rPr>
              <w:t>风险等级</w:t>
            </w:r>
          </w:p>
        </w:tc>
        <w:tc>
          <w:tcPr>
            <w:tcW w:w="1382" w:type="dxa"/>
            <w:tcMar>
              <w:top w:w="14" w:type="dxa"/>
              <w:left w:w="14" w:type="dxa"/>
              <w:bottom w:w="0" w:type="dxa"/>
              <w:right w:w="14" w:type="dxa"/>
            </w:tcMar>
            <w:vAlign w:val="center"/>
          </w:tcPr>
          <w:p w14:paraId="32036240">
            <w:pPr>
              <w:widowControl/>
              <w:jc w:val="center"/>
              <w:textAlignment w:val="center"/>
              <w:rPr>
                <w:rFonts w:cs="宋体"/>
                <w:kern w:val="0"/>
                <w:highlight w:val="none"/>
              </w:rPr>
            </w:pPr>
            <w:r>
              <w:rPr>
                <w:rFonts w:hint="eastAsia" w:ascii="宋体" w:hAnsi="宋体" w:cs="宋体"/>
                <w:color w:val="000000"/>
                <w:kern w:val="0"/>
                <w:highlight w:val="none"/>
                <w:lang w:bidi="ar"/>
              </w:rPr>
              <w:t>高风险</w:t>
            </w:r>
          </w:p>
        </w:tc>
        <w:tc>
          <w:tcPr>
            <w:tcW w:w="1609" w:type="dxa"/>
            <w:tcMar>
              <w:top w:w="14" w:type="dxa"/>
              <w:left w:w="14" w:type="dxa"/>
              <w:bottom w:w="0" w:type="dxa"/>
              <w:right w:w="14" w:type="dxa"/>
            </w:tcMar>
            <w:vAlign w:val="center"/>
          </w:tcPr>
          <w:p w14:paraId="46DCEE51">
            <w:pPr>
              <w:widowControl/>
              <w:jc w:val="center"/>
              <w:textAlignment w:val="center"/>
              <w:rPr>
                <w:rFonts w:cs="宋体"/>
                <w:kern w:val="0"/>
                <w:highlight w:val="none"/>
              </w:rPr>
            </w:pPr>
            <w:r>
              <w:rPr>
                <w:rFonts w:hint="eastAsia" w:ascii="宋体" w:hAnsi="宋体" w:cs="宋体"/>
                <w:color w:val="000000"/>
                <w:kern w:val="0"/>
                <w:highlight w:val="none"/>
                <w:lang w:bidi="ar"/>
              </w:rPr>
              <w:t>中高风险</w:t>
            </w:r>
          </w:p>
        </w:tc>
        <w:tc>
          <w:tcPr>
            <w:tcW w:w="1609" w:type="dxa"/>
            <w:tcMar>
              <w:top w:w="14" w:type="dxa"/>
              <w:left w:w="14" w:type="dxa"/>
              <w:bottom w:w="0" w:type="dxa"/>
              <w:right w:w="14" w:type="dxa"/>
            </w:tcMar>
            <w:vAlign w:val="center"/>
          </w:tcPr>
          <w:p w14:paraId="24AF74B1">
            <w:pPr>
              <w:widowControl/>
              <w:jc w:val="center"/>
              <w:textAlignment w:val="center"/>
              <w:rPr>
                <w:rFonts w:cs="宋体"/>
                <w:kern w:val="0"/>
                <w:highlight w:val="none"/>
              </w:rPr>
            </w:pPr>
            <w:r>
              <w:rPr>
                <w:rFonts w:hint="eastAsia" w:ascii="宋体" w:hAnsi="宋体" w:cs="宋体"/>
                <w:color w:val="000000"/>
                <w:kern w:val="0"/>
                <w:highlight w:val="none"/>
                <w:lang w:bidi="ar"/>
              </w:rPr>
              <w:t>中风险</w:t>
            </w:r>
          </w:p>
        </w:tc>
        <w:tc>
          <w:tcPr>
            <w:tcW w:w="1609" w:type="dxa"/>
            <w:tcMar>
              <w:top w:w="14" w:type="dxa"/>
              <w:left w:w="14" w:type="dxa"/>
              <w:bottom w:w="0" w:type="dxa"/>
              <w:right w:w="14" w:type="dxa"/>
            </w:tcMar>
            <w:vAlign w:val="center"/>
          </w:tcPr>
          <w:p w14:paraId="7A1C66EA">
            <w:pPr>
              <w:widowControl/>
              <w:jc w:val="center"/>
              <w:textAlignment w:val="center"/>
              <w:rPr>
                <w:rFonts w:cs="宋体"/>
                <w:kern w:val="0"/>
                <w:highlight w:val="none"/>
              </w:rPr>
            </w:pPr>
            <w:r>
              <w:rPr>
                <w:rFonts w:hint="eastAsia" w:ascii="宋体" w:hAnsi="宋体" w:cs="宋体"/>
                <w:color w:val="000000"/>
                <w:kern w:val="0"/>
                <w:highlight w:val="none"/>
                <w:lang w:bidi="ar"/>
              </w:rPr>
              <w:t>低风险</w:t>
            </w:r>
          </w:p>
        </w:tc>
      </w:tr>
      <w:tr w14:paraId="272C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107" w:type="dxa"/>
            <w:tcMar>
              <w:top w:w="14" w:type="dxa"/>
              <w:left w:w="14" w:type="dxa"/>
              <w:bottom w:w="0" w:type="dxa"/>
              <w:right w:w="14" w:type="dxa"/>
            </w:tcMar>
            <w:vAlign w:val="center"/>
          </w:tcPr>
          <w:p w14:paraId="0F5D8FC9">
            <w:pPr>
              <w:widowControl/>
              <w:jc w:val="center"/>
              <w:textAlignment w:val="center"/>
              <w:rPr>
                <w:rFonts w:cs="宋体"/>
                <w:kern w:val="0"/>
                <w:highlight w:val="none"/>
              </w:rPr>
            </w:pPr>
            <w:r>
              <w:rPr>
                <w:rFonts w:hint="eastAsia" w:ascii="宋体" w:hAnsi="宋体" w:cs="宋体"/>
                <w:color w:val="000000"/>
                <w:kern w:val="0"/>
                <w:highlight w:val="none"/>
                <w:lang w:bidi="ar"/>
              </w:rPr>
              <w:t>数量</w:t>
            </w:r>
          </w:p>
        </w:tc>
        <w:tc>
          <w:tcPr>
            <w:tcW w:w="1382" w:type="dxa"/>
            <w:tcMar>
              <w:top w:w="14" w:type="dxa"/>
              <w:left w:w="14" w:type="dxa"/>
              <w:bottom w:w="0" w:type="dxa"/>
              <w:right w:w="14" w:type="dxa"/>
            </w:tcMar>
            <w:vAlign w:val="center"/>
          </w:tcPr>
          <w:p w14:paraId="1361C13A">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c>
          <w:tcPr>
            <w:tcW w:w="1609" w:type="dxa"/>
            <w:tcMar>
              <w:top w:w="14" w:type="dxa"/>
              <w:left w:w="14" w:type="dxa"/>
              <w:bottom w:w="0" w:type="dxa"/>
              <w:right w:w="14" w:type="dxa"/>
            </w:tcMar>
            <w:vAlign w:val="center"/>
          </w:tcPr>
          <w:p w14:paraId="283E922F">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33</w:t>
            </w:r>
          </w:p>
        </w:tc>
        <w:tc>
          <w:tcPr>
            <w:tcW w:w="1609" w:type="dxa"/>
            <w:tcMar>
              <w:top w:w="14" w:type="dxa"/>
              <w:left w:w="14" w:type="dxa"/>
              <w:bottom w:w="0" w:type="dxa"/>
              <w:right w:w="14" w:type="dxa"/>
            </w:tcMar>
            <w:vAlign w:val="center"/>
          </w:tcPr>
          <w:p w14:paraId="037ACCD3">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27</w:t>
            </w:r>
          </w:p>
        </w:tc>
        <w:tc>
          <w:tcPr>
            <w:tcW w:w="1609" w:type="dxa"/>
            <w:tcMar>
              <w:top w:w="14" w:type="dxa"/>
              <w:left w:w="14" w:type="dxa"/>
              <w:bottom w:w="0" w:type="dxa"/>
              <w:right w:w="14" w:type="dxa"/>
            </w:tcMar>
            <w:vAlign w:val="center"/>
          </w:tcPr>
          <w:p w14:paraId="19107387">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w:t>
            </w:r>
          </w:p>
        </w:tc>
      </w:tr>
      <w:tr w14:paraId="7033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107" w:type="dxa"/>
            <w:vAlign w:val="center"/>
          </w:tcPr>
          <w:p w14:paraId="787629E9">
            <w:pPr>
              <w:widowControl/>
              <w:jc w:val="center"/>
              <w:textAlignment w:val="center"/>
              <w:rPr>
                <w:rFonts w:cs="宋体"/>
                <w:kern w:val="0"/>
                <w:highlight w:val="none"/>
              </w:rPr>
            </w:pPr>
            <w:r>
              <w:rPr>
                <w:rFonts w:hint="eastAsia" w:ascii="宋体" w:hAnsi="宋体" w:cs="宋体"/>
                <w:color w:val="000000"/>
                <w:kern w:val="0"/>
                <w:highlight w:val="none"/>
                <w:lang w:bidi="ar"/>
              </w:rPr>
              <w:t>比例</w:t>
            </w:r>
          </w:p>
        </w:tc>
        <w:tc>
          <w:tcPr>
            <w:tcW w:w="1382" w:type="dxa"/>
            <w:tcMar>
              <w:top w:w="14" w:type="dxa"/>
              <w:left w:w="14" w:type="dxa"/>
              <w:bottom w:w="0" w:type="dxa"/>
              <w:right w:w="14" w:type="dxa"/>
            </w:tcMar>
            <w:vAlign w:val="center"/>
          </w:tcPr>
          <w:p w14:paraId="6832B8D7">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c>
          <w:tcPr>
            <w:tcW w:w="1609" w:type="dxa"/>
            <w:tcMar>
              <w:top w:w="14" w:type="dxa"/>
              <w:left w:w="14" w:type="dxa"/>
              <w:bottom w:w="0" w:type="dxa"/>
              <w:right w:w="14" w:type="dxa"/>
            </w:tcMar>
            <w:vAlign w:val="center"/>
          </w:tcPr>
          <w:p w14:paraId="7CEA1134">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48.53%</w:t>
            </w:r>
          </w:p>
        </w:tc>
        <w:tc>
          <w:tcPr>
            <w:tcW w:w="1609" w:type="dxa"/>
            <w:tcMar>
              <w:top w:w="14" w:type="dxa"/>
              <w:left w:w="14" w:type="dxa"/>
              <w:bottom w:w="0" w:type="dxa"/>
              <w:right w:w="14" w:type="dxa"/>
            </w:tcMar>
            <w:vAlign w:val="center"/>
          </w:tcPr>
          <w:p w14:paraId="3AA2F6D2">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39.71%</w:t>
            </w:r>
          </w:p>
        </w:tc>
        <w:tc>
          <w:tcPr>
            <w:tcW w:w="1609" w:type="dxa"/>
            <w:tcMar>
              <w:top w:w="14" w:type="dxa"/>
              <w:left w:w="14" w:type="dxa"/>
              <w:bottom w:w="0" w:type="dxa"/>
              <w:right w:w="14" w:type="dxa"/>
            </w:tcMar>
            <w:vAlign w:val="center"/>
          </w:tcPr>
          <w:p w14:paraId="18E3A4BE">
            <w:pPr>
              <w:keepNext w:val="0"/>
              <w:keepLines w:val="0"/>
              <w:widowControl/>
              <w:suppressLineNumbers w:val="0"/>
              <w:jc w:val="center"/>
              <w:textAlignment w:val="center"/>
              <w:rPr>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5.88%</w:t>
            </w:r>
          </w:p>
        </w:tc>
      </w:tr>
    </w:tbl>
    <w:p w14:paraId="0D725468">
      <w:pPr>
        <w:spacing w:line="360" w:lineRule="auto"/>
        <w:jc w:val="center"/>
        <w:rPr>
          <w:highlight w:val="none"/>
        </w:rPr>
      </w:pPr>
      <w:r>
        <w:rPr>
          <w:rFonts w:hint="eastAsia"/>
          <w:highlight w:val="none"/>
        </w:rPr>
        <w:t>表6-5  安全阀</w:t>
      </w:r>
      <w:r>
        <w:rPr>
          <w:highlight w:val="none"/>
        </w:rPr>
        <w:t>5</w:t>
      </w:r>
      <w:r>
        <w:rPr>
          <w:rFonts w:hint="eastAsia"/>
          <w:highlight w:val="none"/>
        </w:rPr>
        <w:t>年后风险等级结果</w:t>
      </w:r>
    </w:p>
    <w:tbl>
      <w:tblPr>
        <w:tblStyle w:val="30"/>
        <w:tblW w:w="7316" w:type="dxa"/>
        <w:jc w:val="center"/>
        <w:tblLayout w:type="autofit"/>
        <w:tblCellMar>
          <w:top w:w="0" w:type="dxa"/>
          <w:left w:w="0" w:type="dxa"/>
          <w:bottom w:w="0" w:type="dxa"/>
          <w:right w:w="0" w:type="dxa"/>
        </w:tblCellMar>
      </w:tblPr>
      <w:tblGrid>
        <w:gridCol w:w="1107"/>
        <w:gridCol w:w="1382"/>
        <w:gridCol w:w="1609"/>
        <w:gridCol w:w="1609"/>
        <w:gridCol w:w="1609"/>
      </w:tblGrid>
      <w:tr w14:paraId="3D8F32D1">
        <w:tblPrEx>
          <w:tblCellMar>
            <w:top w:w="0" w:type="dxa"/>
            <w:left w:w="0" w:type="dxa"/>
            <w:bottom w:w="0" w:type="dxa"/>
            <w:right w:w="0" w:type="dxa"/>
          </w:tblCellMar>
        </w:tblPrEx>
        <w:trPr>
          <w:trHeight w:val="495" w:hRule="atLeast"/>
          <w:jc w:val="center"/>
        </w:trPr>
        <w:tc>
          <w:tcPr>
            <w:tcW w:w="1107" w:type="dxa"/>
            <w:tcBorders>
              <w:top w:val="single" w:color="000000" w:sz="4" w:space="0"/>
              <w:left w:val="single" w:color="000000" w:sz="4" w:space="0"/>
              <w:bottom w:val="single" w:color="000000" w:sz="4" w:space="0"/>
              <w:right w:val="single" w:color="000000" w:sz="4" w:space="0"/>
            </w:tcBorders>
            <w:tcMar>
              <w:top w:w="14" w:type="dxa"/>
              <w:left w:w="14" w:type="dxa"/>
              <w:bottom w:w="0" w:type="dxa"/>
              <w:right w:w="14" w:type="dxa"/>
            </w:tcMar>
            <w:vAlign w:val="center"/>
          </w:tcPr>
          <w:p w14:paraId="761CD57F">
            <w:pPr>
              <w:widowControl/>
              <w:jc w:val="center"/>
              <w:textAlignment w:val="center"/>
              <w:rPr>
                <w:rFonts w:cs="宋体"/>
                <w:kern w:val="0"/>
                <w:highlight w:val="none"/>
              </w:rPr>
            </w:pPr>
            <w:r>
              <w:rPr>
                <w:rFonts w:hint="eastAsia" w:ascii="宋体" w:hAnsi="宋体" w:cs="宋体"/>
                <w:color w:val="000000"/>
                <w:kern w:val="0"/>
                <w:highlight w:val="none"/>
                <w:lang w:bidi="ar"/>
              </w:rPr>
              <w:t>风险等级</w:t>
            </w:r>
          </w:p>
        </w:tc>
        <w:tc>
          <w:tcPr>
            <w:tcW w:w="1382"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4B37606C">
            <w:pPr>
              <w:widowControl/>
              <w:jc w:val="center"/>
              <w:textAlignment w:val="center"/>
              <w:rPr>
                <w:rFonts w:cs="宋体"/>
                <w:kern w:val="0"/>
                <w:highlight w:val="none"/>
              </w:rPr>
            </w:pPr>
            <w:r>
              <w:rPr>
                <w:rFonts w:hint="eastAsia" w:ascii="宋体" w:hAnsi="宋体" w:cs="宋体"/>
                <w:color w:val="000000"/>
                <w:kern w:val="0"/>
                <w:highlight w:val="none"/>
                <w:lang w:bidi="ar"/>
              </w:rPr>
              <w:t>高风险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267AEFAB">
            <w:pPr>
              <w:widowControl/>
              <w:jc w:val="center"/>
              <w:textAlignment w:val="center"/>
              <w:rPr>
                <w:rFonts w:cs="宋体"/>
                <w:kern w:val="0"/>
                <w:highlight w:val="none"/>
              </w:rPr>
            </w:pPr>
            <w:r>
              <w:rPr>
                <w:rFonts w:hint="eastAsia" w:ascii="宋体" w:hAnsi="宋体" w:cs="宋体"/>
                <w:color w:val="000000"/>
                <w:kern w:val="0"/>
                <w:highlight w:val="none"/>
                <w:lang w:bidi="ar"/>
              </w:rPr>
              <w:t>中高风险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55494431">
            <w:pPr>
              <w:widowControl/>
              <w:jc w:val="center"/>
              <w:textAlignment w:val="center"/>
              <w:rPr>
                <w:rFonts w:cs="宋体"/>
                <w:kern w:val="0"/>
                <w:highlight w:val="none"/>
              </w:rPr>
            </w:pPr>
            <w:r>
              <w:rPr>
                <w:rFonts w:hint="eastAsia" w:ascii="宋体" w:hAnsi="宋体" w:cs="宋体"/>
                <w:color w:val="000000"/>
                <w:kern w:val="0"/>
                <w:highlight w:val="none"/>
                <w:lang w:bidi="ar"/>
              </w:rPr>
              <w:t>中风险</w:t>
            </w:r>
          </w:p>
        </w:tc>
        <w:tc>
          <w:tcPr>
            <w:tcW w:w="1609" w:type="dxa"/>
            <w:tcBorders>
              <w:top w:val="single" w:color="000000" w:sz="4" w:space="0"/>
              <w:left w:val="single" w:color="000000" w:sz="4" w:space="0"/>
              <w:bottom w:val="single" w:color="auto" w:sz="4" w:space="0"/>
              <w:right w:val="single" w:color="000000" w:sz="4" w:space="0"/>
            </w:tcBorders>
            <w:tcMar>
              <w:top w:w="14" w:type="dxa"/>
              <w:left w:w="14" w:type="dxa"/>
              <w:bottom w:w="0" w:type="dxa"/>
              <w:right w:w="14" w:type="dxa"/>
            </w:tcMar>
            <w:vAlign w:val="center"/>
          </w:tcPr>
          <w:p w14:paraId="76C9FA2B">
            <w:pPr>
              <w:widowControl/>
              <w:jc w:val="center"/>
              <w:textAlignment w:val="center"/>
              <w:rPr>
                <w:rFonts w:cs="宋体"/>
                <w:kern w:val="0"/>
                <w:highlight w:val="none"/>
              </w:rPr>
            </w:pPr>
            <w:r>
              <w:rPr>
                <w:rFonts w:hint="eastAsia" w:ascii="宋体" w:hAnsi="宋体" w:cs="宋体"/>
                <w:color w:val="000000"/>
                <w:kern w:val="0"/>
                <w:highlight w:val="none"/>
                <w:lang w:bidi="ar"/>
              </w:rPr>
              <w:t>低风险</w:t>
            </w:r>
          </w:p>
        </w:tc>
      </w:tr>
      <w:tr w14:paraId="5324B4CA">
        <w:tblPrEx>
          <w:tblCellMar>
            <w:top w:w="0" w:type="dxa"/>
            <w:left w:w="0" w:type="dxa"/>
            <w:bottom w:w="0" w:type="dxa"/>
            <w:right w:w="0" w:type="dxa"/>
          </w:tblCellMar>
        </w:tblPrEx>
        <w:trPr>
          <w:trHeight w:val="505" w:hRule="atLeast"/>
          <w:jc w:val="center"/>
        </w:trPr>
        <w:tc>
          <w:tcPr>
            <w:tcW w:w="1107" w:type="dxa"/>
            <w:tcBorders>
              <w:top w:val="single" w:color="000000" w:sz="4" w:space="0"/>
              <w:left w:val="single" w:color="000000" w:sz="4" w:space="0"/>
              <w:bottom w:val="single" w:color="000000" w:sz="4" w:space="0"/>
              <w:right w:val="single" w:color="auto" w:sz="4" w:space="0"/>
            </w:tcBorders>
            <w:tcMar>
              <w:top w:w="14" w:type="dxa"/>
              <w:left w:w="14" w:type="dxa"/>
              <w:bottom w:w="0" w:type="dxa"/>
              <w:right w:w="14" w:type="dxa"/>
            </w:tcMar>
            <w:vAlign w:val="center"/>
          </w:tcPr>
          <w:p w14:paraId="399D44AF">
            <w:pPr>
              <w:widowControl/>
              <w:jc w:val="center"/>
              <w:textAlignment w:val="center"/>
              <w:rPr>
                <w:rFonts w:cs="宋体"/>
                <w:kern w:val="0"/>
                <w:highlight w:val="none"/>
              </w:rPr>
            </w:pPr>
            <w:r>
              <w:rPr>
                <w:rFonts w:hint="eastAsia" w:ascii="宋体" w:hAnsi="宋体" w:cs="宋体"/>
                <w:color w:val="000000"/>
                <w:kern w:val="0"/>
                <w:highlight w:val="none"/>
                <w:lang w:bidi="ar"/>
              </w:rPr>
              <w:t>数量</w:t>
            </w:r>
          </w:p>
        </w:tc>
        <w:tc>
          <w:tcPr>
            <w:tcW w:w="1382"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6160AF5C">
            <w:pPr>
              <w:keepNext w:val="0"/>
              <w:keepLines w:val="0"/>
              <w:widowControl/>
              <w:suppressLineNumbers w:val="0"/>
              <w:jc w:val="center"/>
              <w:textAlignment w:val="center"/>
              <w:rPr>
                <w:rFonts w:cs="宋体"/>
                <w:color w:val="000000"/>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6</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53448B1">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31</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1D59A32">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30</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0A895F96">
            <w:pPr>
              <w:keepNext w:val="0"/>
              <w:keepLines w:val="0"/>
              <w:widowControl/>
              <w:suppressLineNumbers w:val="0"/>
              <w:jc w:val="center"/>
              <w:textAlignment w:val="center"/>
              <w:rPr>
                <w:rFonts w:cs="宋体"/>
                <w:kern w:val="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1</w:t>
            </w:r>
          </w:p>
        </w:tc>
      </w:tr>
      <w:tr w14:paraId="302C186B">
        <w:tblPrEx>
          <w:tblCellMar>
            <w:top w:w="0" w:type="dxa"/>
            <w:left w:w="0" w:type="dxa"/>
            <w:bottom w:w="0" w:type="dxa"/>
            <w:right w:w="0" w:type="dxa"/>
          </w:tblCellMar>
        </w:tblPrEx>
        <w:trPr>
          <w:trHeight w:val="514" w:hRule="atLeast"/>
          <w:jc w:val="center"/>
        </w:trPr>
        <w:tc>
          <w:tcPr>
            <w:tcW w:w="1107" w:type="dxa"/>
            <w:tcBorders>
              <w:top w:val="single" w:color="000000" w:sz="4" w:space="0"/>
              <w:left w:val="single" w:color="000000" w:sz="4" w:space="0"/>
              <w:bottom w:val="single" w:color="000000" w:sz="4" w:space="0"/>
              <w:right w:val="single" w:color="auto" w:sz="4" w:space="0"/>
            </w:tcBorders>
            <w:vAlign w:val="center"/>
          </w:tcPr>
          <w:p w14:paraId="4238852C">
            <w:pPr>
              <w:widowControl/>
              <w:jc w:val="center"/>
              <w:textAlignment w:val="center"/>
              <w:rPr>
                <w:rFonts w:cs="宋体"/>
                <w:kern w:val="0"/>
                <w:highlight w:val="none"/>
              </w:rPr>
            </w:pPr>
            <w:r>
              <w:rPr>
                <w:rFonts w:hint="eastAsia" w:ascii="宋体" w:hAnsi="宋体" w:cs="宋体"/>
                <w:color w:val="000000"/>
                <w:kern w:val="0"/>
                <w:highlight w:val="none"/>
                <w:lang w:bidi="ar"/>
              </w:rPr>
              <w:t>比例</w:t>
            </w:r>
          </w:p>
        </w:tc>
        <w:tc>
          <w:tcPr>
            <w:tcW w:w="1382"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D59B005">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8.82%</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44C26AC9">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45.59%</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18778FC">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44.12%</w:t>
            </w:r>
          </w:p>
        </w:tc>
        <w:tc>
          <w:tcPr>
            <w:tcW w:w="160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5393ED3">
            <w:pPr>
              <w:keepNext w:val="0"/>
              <w:keepLines w:val="0"/>
              <w:widowControl/>
              <w:suppressLineNumbers w:val="0"/>
              <w:jc w:val="center"/>
              <w:textAlignment w:val="center"/>
              <w:rPr>
                <w:rFonts w:hint="eastAsia" w:ascii="宋体" w:hAnsi="宋体" w:cs="宋体"/>
                <w:color w:val="000000"/>
                <w:highlight w:val="none"/>
              </w:rPr>
            </w:pPr>
            <w:r>
              <w:rPr>
                <w:rFonts w:hint="default" w:ascii="Arial Narrow" w:hAnsi="Arial Narrow" w:eastAsia="Arial Narrow" w:cs="Arial Narrow"/>
                <w:i w:val="0"/>
                <w:iCs w:val="0"/>
                <w:color w:val="000000"/>
                <w:kern w:val="0"/>
                <w:sz w:val="24"/>
                <w:szCs w:val="24"/>
                <w:highlight w:val="none"/>
                <w:u w:val="none"/>
                <w:lang w:val="en-US" w:eastAsia="zh-CN" w:bidi="ar"/>
              </w:rPr>
              <w:t>1.47%</w:t>
            </w:r>
          </w:p>
        </w:tc>
      </w:tr>
    </w:tbl>
    <w:p w14:paraId="26B18CC6">
      <w:pPr>
        <w:widowControl/>
        <w:jc w:val="center"/>
        <w:rPr>
          <w:bCs/>
          <w:color w:val="000000"/>
          <w:highlight w:val="none"/>
        </w:rPr>
      </w:pPr>
    </w:p>
    <w:bookmarkEnd w:id="44"/>
    <w:p w14:paraId="047261D9">
      <w:pPr>
        <w:pStyle w:val="2"/>
        <w:spacing w:before="230" w:beforeLines="0" w:after="230" w:afterLines="0"/>
        <w:rPr>
          <w:kern w:val="2"/>
          <w:highlight w:val="none"/>
        </w:rPr>
      </w:pPr>
      <w:bookmarkStart w:id="45" w:name="_Toc185152212"/>
      <w:bookmarkStart w:id="46" w:name="_Toc43881072"/>
      <w:bookmarkStart w:id="47" w:name="_Toc98261490"/>
      <w:bookmarkStart w:id="48" w:name="_Toc103337519"/>
      <w:bookmarkStart w:id="49" w:name="_Hlt68660536"/>
      <w:r>
        <w:rPr>
          <w:rFonts w:hint="eastAsia"/>
          <w:kern w:val="2"/>
          <w:highlight w:val="none"/>
        </w:rPr>
        <w:t>7.</w:t>
      </w:r>
      <w:r>
        <w:rPr>
          <w:kern w:val="2"/>
          <w:highlight w:val="none"/>
        </w:rPr>
        <w:t xml:space="preserve"> </w:t>
      </w:r>
      <w:r>
        <w:rPr>
          <w:rFonts w:hint="eastAsia"/>
          <w:kern w:val="2"/>
          <w:highlight w:val="none"/>
        </w:rPr>
        <w:t>安全阀管理维护</w:t>
      </w:r>
      <w:bookmarkEnd w:id="45"/>
      <w:bookmarkEnd w:id="46"/>
    </w:p>
    <w:p w14:paraId="3320741C">
      <w:pPr>
        <w:ind w:firstLine="480" w:firstLineChars="200"/>
        <w:rPr>
          <w:rFonts w:hint="eastAsia" w:ascii="宋体" w:hAnsi="宋体"/>
          <w:highlight w:val="none"/>
        </w:rPr>
      </w:pPr>
      <w:r>
        <w:rPr>
          <w:rFonts w:hint="eastAsia" w:ascii="宋体" w:hAnsi="宋体"/>
          <w:highlight w:val="none"/>
        </w:rPr>
        <w:t>（1）将弹簧式安全阀纳入日常设备管理，安全阀的定期巡检，须根据安全阀的风险情况，设定不同的巡检频率，高风险安全阀应提高巡检频率。定期检查运行中的安全阀是否有泄漏（可采用对安全阀出口管的温度检测、用听针听管内流体声音等方法判断安全阀是否有内漏），卡阻及弹簧锈蚀等不正常现象，并注意观察调节螺套及调节圈紧定螺钉的锁紧螺母是否有松动，若发现问题及时采取适当措施。如发现安全阀有泄漏迹象时，应及时更换或检验检修，禁止用加大载荷</w:t>
      </w:r>
      <w:r>
        <w:rPr>
          <w:rFonts w:ascii="宋体" w:hAnsi="宋体"/>
          <w:highlight w:val="none"/>
        </w:rPr>
        <w:t>(</w:t>
      </w:r>
      <w:r>
        <w:rPr>
          <w:rFonts w:hint="eastAsia" w:ascii="宋体" w:hAnsi="宋体"/>
          <w:highlight w:val="none"/>
        </w:rPr>
        <w:t>如过分拧紧弹簧式安全阀的调节螺丝或在杠杆式安全阀的杠杆上加挂重物等</w:t>
      </w:r>
      <w:r>
        <w:rPr>
          <w:rFonts w:ascii="宋体" w:hAnsi="宋体"/>
          <w:highlight w:val="none"/>
        </w:rPr>
        <w:t>)</w:t>
      </w:r>
      <w:r>
        <w:rPr>
          <w:rFonts w:hint="eastAsia" w:ascii="宋体" w:hAnsi="宋体"/>
          <w:highlight w:val="none"/>
        </w:rPr>
        <w:t>的方法来消除泄漏。</w:t>
      </w:r>
    </w:p>
    <w:p w14:paraId="7F132B70">
      <w:pPr>
        <w:ind w:firstLine="480" w:firstLineChars="200"/>
        <w:rPr>
          <w:rFonts w:hint="eastAsia" w:ascii="宋体" w:hAnsi="宋体"/>
          <w:highlight w:val="none"/>
        </w:rPr>
      </w:pPr>
      <w:r>
        <w:rPr>
          <w:rFonts w:hint="eastAsia" w:ascii="宋体" w:hAnsi="宋体"/>
          <w:highlight w:val="none"/>
        </w:rPr>
        <w:t>（2）要经常保持安全阀的清洁，防止阀体弹簧等被油垢脏物填满或被腐蚀，防止安全阀排放管被油污或其他异物堵塞。经常检查铅封是否完好，防止随意拧动。</w:t>
      </w:r>
    </w:p>
    <w:p w14:paraId="1D765CA7">
      <w:pPr>
        <w:ind w:firstLine="480" w:firstLineChars="200"/>
        <w:rPr>
          <w:rFonts w:hint="eastAsia" w:ascii="宋体" w:hAnsi="宋体"/>
          <w:highlight w:val="none"/>
        </w:rPr>
      </w:pPr>
      <w:r>
        <w:rPr>
          <w:rFonts w:hint="eastAsia" w:ascii="宋体" w:hAnsi="宋体"/>
          <w:highlight w:val="none"/>
        </w:rPr>
        <w:t>（3）为防止阀瓣和阀座被气体中的油垢等脏物粘住，致使安全阀不能正常开启，对用于空气、蒸汽或带有粘滞性脏物但排放不会造成危害的其他气体的安全阀，应定期做手提排放试验。</w:t>
      </w:r>
    </w:p>
    <w:p w14:paraId="60CD3AF9">
      <w:pPr>
        <w:ind w:firstLine="480" w:firstLineChars="200"/>
        <w:rPr>
          <w:rFonts w:hint="eastAsia" w:ascii="宋体" w:hAnsi="宋体"/>
          <w:highlight w:val="none"/>
        </w:rPr>
      </w:pPr>
      <w:r>
        <w:rPr>
          <w:rFonts w:hint="eastAsia" w:ascii="宋体" w:hAnsi="宋体"/>
          <w:highlight w:val="none"/>
        </w:rPr>
        <w:t>（4）</w:t>
      </w:r>
      <w:r>
        <w:rPr>
          <w:rFonts w:ascii="宋体" w:hAnsi="宋体"/>
          <w:highlight w:val="none"/>
        </w:rPr>
        <w:t>安全阀排放管道有积水时，还应定期检查排放积水，防止安全阀出口管道因积水而增加背压，影响安全阀的动作性能。</w:t>
      </w:r>
    </w:p>
    <w:p w14:paraId="3C5C4729">
      <w:pPr>
        <w:ind w:firstLine="480" w:firstLineChars="200"/>
        <w:rPr>
          <w:rFonts w:hint="eastAsia" w:ascii="宋体" w:hAnsi="宋体"/>
          <w:highlight w:val="none"/>
        </w:rPr>
      </w:pPr>
      <w:r>
        <w:rPr>
          <w:rFonts w:hint="eastAsia" w:ascii="宋体" w:hAnsi="宋体"/>
          <w:highlight w:val="none"/>
        </w:rPr>
        <w:t>（5）</w:t>
      </w:r>
      <w:r>
        <w:rPr>
          <w:rFonts w:ascii="宋体" w:hAnsi="宋体"/>
          <w:highlight w:val="none"/>
        </w:rPr>
        <w:t>安全阀外表有无腐蚀，表面温度是否正常，有无异常结霜结冰或温度异常。</w:t>
      </w:r>
    </w:p>
    <w:p w14:paraId="3B22CE88">
      <w:pPr>
        <w:ind w:firstLine="480" w:firstLineChars="200"/>
        <w:rPr>
          <w:rFonts w:hint="eastAsia" w:ascii="宋体" w:hAnsi="宋体"/>
          <w:highlight w:val="none"/>
        </w:rPr>
      </w:pPr>
      <w:r>
        <w:rPr>
          <w:rFonts w:ascii="宋体" w:hAnsi="宋体"/>
          <w:highlight w:val="none"/>
        </w:rPr>
        <w:t>（</w:t>
      </w:r>
      <w:r>
        <w:rPr>
          <w:rFonts w:hint="eastAsia" w:ascii="宋体" w:hAnsi="宋体"/>
          <w:highlight w:val="none"/>
        </w:rPr>
        <w:t>6</w:t>
      </w:r>
      <w:r>
        <w:rPr>
          <w:rFonts w:ascii="宋体" w:hAnsi="宋体"/>
          <w:highlight w:val="none"/>
        </w:rPr>
        <w:t>）安全阀的附属设施运行是否正常，如有冷却水夹套的安全阀，冷却水供给是否正常</w:t>
      </w:r>
      <w:r>
        <w:rPr>
          <w:rFonts w:hint="eastAsia" w:ascii="宋体" w:hAnsi="宋体"/>
          <w:highlight w:val="none"/>
        </w:rPr>
        <w:t>。</w:t>
      </w:r>
    </w:p>
    <w:p w14:paraId="4159FAB1">
      <w:pPr>
        <w:ind w:firstLine="480" w:firstLineChars="200"/>
        <w:rPr>
          <w:rFonts w:hint="eastAsia" w:ascii="宋体" w:hAnsi="宋体"/>
          <w:highlight w:val="none"/>
        </w:rPr>
      </w:pPr>
      <w:r>
        <w:rPr>
          <w:rFonts w:ascii="宋体" w:hAnsi="宋体"/>
          <w:highlight w:val="none"/>
        </w:rPr>
        <w:t>（</w:t>
      </w:r>
      <w:r>
        <w:rPr>
          <w:rFonts w:hint="eastAsia" w:ascii="宋体" w:hAnsi="宋体"/>
          <w:highlight w:val="none"/>
        </w:rPr>
        <w:t>7</w:t>
      </w:r>
      <w:r>
        <w:rPr>
          <w:rFonts w:ascii="宋体" w:hAnsi="宋体"/>
          <w:highlight w:val="none"/>
        </w:rPr>
        <w:t>）带波纹管的安全阀，为波纹管设置的泄出口应当是敞开的和清洁的。</w:t>
      </w:r>
    </w:p>
    <w:p w14:paraId="33F3367D">
      <w:pPr>
        <w:ind w:firstLine="480" w:firstLineChars="200"/>
        <w:rPr>
          <w:rFonts w:hint="eastAsia" w:ascii="宋体" w:hAnsi="宋体"/>
          <w:highlight w:val="none"/>
        </w:rPr>
      </w:pPr>
      <w:r>
        <w:rPr>
          <w:rFonts w:ascii="宋体" w:hAnsi="宋体"/>
          <w:highlight w:val="none"/>
        </w:rPr>
        <w:t>（</w:t>
      </w:r>
      <w:r>
        <w:rPr>
          <w:rFonts w:hint="eastAsia" w:ascii="宋体" w:hAnsi="宋体"/>
          <w:highlight w:val="none"/>
        </w:rPr>
        <w:t>8</w:t>
      </w:r>
      <w:r>
        <w:rPr>
          <w:rFonts w:ascii="宋体" w:hAnsi="宋体"/>
          <w:highlight w:val="none"/>
        </w:rPr>
        <w:t>）安全阀周围环境良好，安全阀应处于正常的工作状态，没有影响安全阀运行的因素，如：带扳手弹簧式安全阀不能有压在提升螺母上和限制安全阀启跳，或者不能达到应开启高度的阻碍物品。</w:t>
      </w:r>
    </w:p>
    <w:p w14:paraId="147E1941">
      <w:pPr>
        <w:ind w:firstLine="480" w:firstLineChars="200"/>
        <w:rPr>
          <w:rFonts w:hint="eastAsia" w:ascii="宋体" w:hAnsi="宋体"/>
          <w:highlight w:val="none"/>
        </w:rPr>
      </w:pPr>
      <w:r>
        <w:rPr>
          <w:rFonts w:ascii="宋体" w:hAnsi="宋体"/>
          <w:highlight w:val="none"/>
        </w:rPr>
        <w:t>（</w:t>
      </w:r>
      <w:r>
        <w:rPr>
          <w:rFonts w:hint="eastAsia" w:ascii="宋体" w:hAnsi="宋体"/>
          <w:highlight w:val="none"/>
        </w:rPr>
        <w:t>9</w:t>
      </w:r>
      <w:r>
        <w:rPr>
          <w:rFonts w:ascii="宋体" w:hAnsi="宋体"/>
          <w:highlight w:val="none"/>
        </w:rPr>
        <w:t>）必须设置截断阀的情况时，安全阀上游和下游的截断阀的铅封或锁紧机构是否完好，并且处于正常开启</w:t>
      </w:r>
      <w:r>
        <w:rPr>
          <w:rFonts w:hint="eastAsia" w:ascii="宋体" w:hAnsi="宋体"/>
          <w:highlight w:val="none"/>
        </w:rPr>
        <w:t>。</w:t>
      </w:r>
    </w:p>
    <w:p w14:paraId="449B7CCC">
      <w:pPr>
        <w:ind w:firstLine="420"/>
        <w:rPr>
          <w:rFonts w:hint="eastAsia" w:ascii="宋体" w:hAnsi="宋体"/>
          <w:highlight w:val="none"/>
        </w:rPr>
      </w:pPr>
      <w:r>
        <w:rPr>
          <w:rFonts w:ascii="宋体" w:hAnsi="宋体"/>
          <w:highlight w:val="none"/>
        </w:rPr>
        <w:t>（</w:t>
      </w:r>
      <w:r>
        <w:rPr>
          <w:rFonts w:hint="eastAsia" w:ascii="宋体" w:hAnsi="宋体"/>
          <w:highlight w:val="none"/>
        </w:rPr>
        <w:t>10</w:t>
      </w:r>
      <w:r>
        <w:rPr>
          <w:rFonts w:ascii="宋体" w:hAnsi="宋体"/>
          <w:highlight w:val="none"/>
        </w:rPr>
        <w:t>）</w:t>
      </w:r>
      <w:r>
        <w:rPr>
          <w:rFonts w:hint="eastAsia"/>
          <w:bCs/>
          <w:color w:val="000000"/>
          <w:highlight w:val="none"/>
        </w:rPr>
        <w:t>对于安全阀的日常管理要准确到位，若管理不善，安全阀的风险等级也会提高。</w:t>
      </w:r>
    </w:p>
    <w:p w14:paraId="1C0F8211">
      <w:pPr>
        <w:pStyle w:val="2"/>
        <w:spacing w:before="230" w:beforeLines="0" w:after="230" w:afterLines="0"/>
        <w:rPr>
          <w:kern w:val="2"/>
          <w:highlight w:val="none"/>
        </w:rPr>
      </w:pPr>
      <w:bookmarkStart w:id="50" w:name="_Toc185152215"/>
      <w:r>
        <w:rPr>
          <w:rFonts w:hint="eastAsia"/>
          <w:kern w:val="2"/>
          <w:highlight w:val="none"/>
        </w:rPr>
        <w:t>8.</w:t>
      </w:r>
      <w:r>
        <w:rPr>
          <w:kern w:val="2"/>
          <w:highlight w:val="none"/>
        </w:rPr>
        <w:t xml:space="preserve"> </w:t>
      </w:r>
      <w:r>
        <w:rPr>
          <w:rFonts w:hint="eastAsia"/>
          <w:kern w:val="2"/>
          <w:highlight w:val="none"/>
        </w:rPr>
        <w:t>结束语</w:t>
      </w:r>
      <w:bookmarkEnd w:id="50"/>
    </w:p>
    <w:p w14:paraId="19FD857E">
      <w:pPr>
        <w:ind w:firstLine="480"/>
        <w:rPr>
          <w:highlight w:val="none"/>
        </w:rPr>
      </w:pPr>
      <w:r>
        <w:rPr>
          <w:rFonts w:hint="eastAsia"/>
          <w:highlight w:val="none"/>
        </w:rPr>
        <w:t>本次风险评估项目是在大连西太领导、公司设备部的大力支持与帮助下、在装置领导及相关工作人员的大力合作下，得以顺利完成，在此对大连西太的领导及各成员表示衷心感谢！通过本次风险评估项目，我们希望厂方对此工作能持续关注，同时提出如下建议：</w:t>
      </w:r>
    </w:p>
    <w:p w14:paraId="2DF6F8E8">
      <w:pPr>
        <w:widowControl/>
        <w:numPr>
          <w:ilvl w:val="0"/>
          <w:numId w:val="2"/>
        </w:numPr>
        <w:tabs>
          <w:tab w:val="left" w:pos="0"/>
        </w:tabs>
        <w:ind w:left="0" w:firstLine="480" w:firstLineChars="200"/>
        <w:rPr>
          <w:highlight w:val="none"/>
        </w:rPr>
      </w:pPr>
      <w:r>
        <w:rPr>
          <w:rFonts w:hint="eastAsia"/>
          <w:highlight w:val="none"/>
        </w:rPr>
        <w:t>RBI技术的目的是保障设备的安全、提高企业的管理水平、提高技术人员的技术水平、优化检验策略等。因此，希望通过本次RBI项目，能切实提高本企业的风险管理水平。</w:t>
      </w:r>
    </w:p>
    <w:p w14:paraId="76B7B6B7">
      <w:pPr>
        <w:widowControl/>
        <w:numPr>
          <w:ilvl w:val="0"/>
          <w:numId w:val="2"/>
        </w:numPr>
        <w:tabs>
          <w:tab w:val="clear" w:pos="795"/>
        </w:tabs>
        <w:ind w:left="0" w:firstLine="480"/>
        <w:rPr>
          <w:highlight w:val="none"/>
        </w:rPr>
      </w:pPr>
      <w:r>
        <w:rPr>
          <w:rFonts w:hint="eastAsia"/>
          <w:highlight w:val="none"/>
        </w:rPr>
        <w:t>开展RBI再评估工作。一个完整的RBI，应包括RBI再评估工作。即通过本次提供的检验策略进行检验后，根据检验情况，对装置安全阀进行再次评估，调整风险，提出更切合实际情况的风险控制措施，保证装置的安全运行，具有重要意义。</w:t>
      </w:r>
    </w:p>
    <w:p w14:paraId="00E993E7">
      <w:pPr>
        <w:widowControl/>
        <w:numPr>
          <w:ilvl w:val="0"/>
          <w:numId w:val="2"/>
        </w:numPr>
        <w:tabs>
          <w:tab w:val="clear" w:pos="795"/>
        </w:tabs>
        <w:ind w:left="0" w:firstLine="480"/>
        <w:rPr>
          <w:highlight w:val="none"/>
        </w:rPr>
      </w:pPr>
      <w:r>
        <w:rPr>
          <w:rFonts w:hint="eastAsia"/>
          <w:highlight w:val="none"/>
        </w:rPr>
        <w:t>基于风险的检验是风险管理的一部分，企业应尽量将RBI、RCM(以可靠性为中心的维护)与SIL(安全连锁系统定量安全评估)协同发展，建立基于风险的设备完整性管理体系。</w:t>
      </w:r>
    </w:p>
    <w:p w14:paraId="58014392">
      <w:pPr>
        <w:pStyle w:val="2"/>
        <w:spacing w:before="230" w:beforeLines="0" w:after="230" w:afterLines="0"/>
        <w:rPr>
          <w:color w:val="000000"/>
          <w:kern w:val="2"/>
          <w:highlight w:val="none"/>
        </w:rPr>
      </w:pPr>
      <w:bookmarkStart w:id="51" w:name="_Toc185152216"/>
      <w:r>
        <w:rPr>
          <w:color w:val="000000"/>
          <w:kern w:val="2"/>
          <w:highlight w:val="none"/>
        </w:rPr>
        <w:t>附录</w:t>
      </w:r>
      <w:bookmarkEnd w:id="47"/>
      <w:bookmarkEnd w:id="48"/>
      <w:bookmarkEnd w:id="51"/>
    </w:p>
    <w:bookmarkEnd w:id="49"/>
    <w:p w14:paraId="438A113E">
      <w:pPr>
        <w:pStyle w:val="3"/>
        <w:tabs>
          <w:tab w:val="left" w:pos="840"/>
          <w:tab w:val="clear" w:pos="480"/>
        </w:tabs>
        <w:spacing w:before="115" w:beforeLines="25" w:after="115" w:afterLines="25"/>
        <w:rPr>
          <w:color w:val="000000"/>
          <w:highlight w:val="none"/>
        </w:rPr>
      </w:pPr>
      <w:bookmarkStart w:id="52" w:name="_Toc347149321"/>
      <w:bookmarkStart w:id="53" w:name="_Toc164526747"/>
      <w:bookmarkStart w:id="54" w:name="_Toc185152217"/>
      <w:bookmarkStart w:id="55" w:name="_Toc65513960"/>
      <w:bookmarkStart w:id="56" w:name="_Toc65513839"/>
      <w:bookmarkStart w:id="57" w:name="_Toc65318183"/>
      <w:bookmarkStart w:id="58" w:name="_Toc65513958"/>
      <w:bookmarkStart w:id="59" w:name="_Toc65553397"/>
      <w:bookmarkStart w:id="60" w:name="_Toc65514177"/>
      <w:bookmarkStart w:id="61" w:name="_Toc65514179"/>
      <w:bookmarkStart w:id="62" w:name="_Toc65553395"/>
      <w:bookmarkStart w:id="63" w:name="_Hlt68148956"/>
      <w:bookmarkStart w:id="64" w:name="_Toc65513837"/>
      <w:r>
        <w:rPr>
          <w:color w:val="000000"/>
          <w:highlight w:val="none"/>
        </w:rPr>
        <w:t>附录</w:t>
      </w:r>
      <w:r>
        <w:rPr>
          <w:rFonts w:hint="eastAsia"/>
          <w:color w:val="000000"/>
          <w:highlight w:val="none"/>
        </w:rPr>
        <w:t>1</w:t>
      </w:r>
      <w:r>
        <w:rPr>
          <w:color w:val="000000"/>
          <w:highlight w:val="none"/>
        </w:rPr>
        <w:t>.</w:t>
      </w:r>
      <w:r>
        <w:rPr>
          <w:rFonts w:hint="eastAsia"/>
          <w:color w:val="000000"/>
          <w:highlight w:val="none"/>
        </w:rPr>
        <w:t xml:space="preserve"> </w:t>
      </w:r>
      <w:bookmarkEnd w:id="52"/>
      <w:bookmarkEnd w:id="53"/>
      <w:r>
        <w:rPr>
          <w:rFonts w:hint="eastAsia"/>
          <w:color w:val="000000"/>
          <w:highlight w:val="none"/>
        </w:rPr>
        <w:t>安全阀基础数据表</w:t>
      </w:r>
      <w:bookmarkEnd w:id="54"/>
    </w:p>
    <w:p w14:paraId="22C4478D">
      <w:pPr>
        <w:pStyle w:val="3"/>
        <w:tabs>
          <w:tab w:val="left" w:pos="840"/>
          <w:tab w:val="clear" w:pos="480"/>
        </w:tabs>
        <w:spacing w:before="115" w:beforeLines="25" w:after="115" w:afterLines="25"/>
        <w:rPr>
          <w:color w:val="000000"/>
          <w:highlight w:val="none"/>
        </w:rPr>
      </w:pPr>
      <w:bookmarkStart w:id="65" w:name="_Toc347149322"/>
      <w:bookmarkStart w:id="66" w:name="_Toc185152218"/>
      <w:r>
        <w:rPr>
          <w:color w:val="000000"/>
          <w:highlight w:val="none"/>
        </w:rPr>
        <w:t>附录</w:t>
      </w:r>
      <w:r>
        <w:rPr>
          <w:rFonts w:hint="eastAsia"/>
          <w:color w:val="000000"/>
          <w:highlight w:val="none"/>
        </w:rPr>
        <w:t>2</w:t>
      </w:r>
      <w:r>
        <w:rPr>
          <w:color w:val="000000"/>
          <w:highlight w:val="none"/>
        </w:rPr>
        <w:t>.</w:t>
      </w:r>
      <w:bookmarkEnd w:id="65"/>
      <w:r>
        <w:rPr>
          <w:rFonts w:hint="eastAsia"/>
          <w:color w:val="000000"/>
          <w:highlight w:val="none"/>
        </w:rPr>
        <w:t xml:space="preserve"> 安全阀风险等级、下次校验</w:t>
      </w:r>
      <w:bookmarkEnd w:id="55"/>
      <w:bookmarkEnd w:id="56"/>
      <w:bookmarkEnd w:id="57"/>
      <w:bookmarkEnd w:id="58"/>
      <w:bookmarkEnd w:id="59"/>
      <w:bookmarkEnd w:id="60"/>
      <w:bookmarkEnd w:id="61"/>
      <w:bookmarkEnd w:id="62"/>
      <w:bookmarkEnd w:id="63"/>
      <w:bookmarkEnd w:id="64"/>
      <w:bookmarkEnd w:id="66"/>
      <w:r>
        <w:rPr>
          <w:rFonts w:hint="eastAsia"/>
          <w:color w:val="000000"/>
          <w:highlight w:val="none"/>
        </w:rPr>
        <w:t>时间</w:t>
      </w:r>
    </w:p>
    <w:sectPr>
      <w:pgSz w:w="11906" w:h="16838"/>
      <w:pgMar w:top="1418" w:right="1418" w:bottom="1418" w:left="1701" w:header="1134" w:footer="1134" w:gutter="0"/>
      <w:pgNumType w:start="1"/>
      <w:cols w:space="720" w:num="1"/>
      <w:docGrid w:type="lines" w:linePitch="4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
    <w:altName w:val="黑体"/>
    <w:panose1 w:val="00000000000000000000"/>
    <w:charset w:val="86"/>
    <w:family w:val="auto"/>
    <w:pitch w:val="default"/>
    <w:sig w:usb0="00000000" w:usb1="00000000" w:usb2="00000010" w:usb3="00000000" w:csb0="00040000" w:csb1="00000000"/>
  </w:font>
  <w:font w:name="Arial Unicode MS">
    <w:panose1 w:val="020B0604020202020204"/>
    <w:charset w:val="86"/>
    <w:family w:val="roman"/>
    <w:pitch w:val="default"/>
    <w:sig w:usb0="F7FFAEFF" w:usb1="F9DFFFFF" w:usb2="0000007F" w:usb3="00000000" w:csb0="203F01FF" w:csb1="DFFF0000"/>
  </w:font>
  <w:font w:name="MS Sans Serif">
    <w:altName w:val="Arial"/>
    <w:panose1 w:val="00000000000000000000"/>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1C437">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1</w:t>
    </w:r>
    <w:r>
      <w:fldChar w:fldCharType="end"/>
    </w:r>
  </w:p>
  <w:p w14:paraId="1B411F2A">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59A2E">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11</w:t>
    </w:r>
    <w:r>
      <w:fldChar w:fldCharType="end"/>
    </w:r>
  </w:p>
  <w:p w14:paraId="1298B3B3">
    <w:pPr>
      <w:pStyle w:val="19"/>
      <w:rPr>
        <w:bCs/>
        <w:color w:val="000000"/>
        <w:szCs w:val="20"/>
        <w:lang w:val="zh-CN"/>
      </w:rPr>
    </w:pPr>
    <w:r>
      <w:rPr>
        <w:rFonts w:hint="eastAsia"/>
        <w:bCs/>
        <w:color w:val="000000"/>
        <w:szCs w:val="20"/>
      </w:rPr>
      <w:t>大连西太储运部</w:t>
    </w:r>
    <w:r>
      <w:rPr>
        <w:rFonts w:hint="eastAsia"/>
        <w:bCs/>
        <w:color w:val="000000"/>
        <w:szCs w:val="20"/>
        <w:lang w:val="en-US" w:eastAsia="zh-CN"/>
      </w:rPr>
      <w:t>等</w:t>
    </w:r>
    <w:r>
      <w:rPr>
        <w:rFonts w:hint="eastAsia"/>
        <w:bCs/>
        <w:color w:val="000000"/>
        <w:szCs w:val="20"/>
        <w:lang w:val="zh-CN"/>
      </w:rPr>
      <w:t>安全阀RBI报告</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297EB">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1</w:t>
    </w:r>
    <w:r>
      <w:fldChar w:fldCharType="end"/>
    </w:r>
  </w:p>
  <w:p w14:paraId="0A1B0DDB">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71DFA">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795"/>
        </w:tabs>
        <w:ind w:left="795" w:hanging="79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AF605B4"/>
    <w:multiLevelType w:val="multilevel"/>
    <w:tmpl w:val="7AF605B4"/>
    <w:lvl w:ilvl="0" w:tentative="0">
      <w:start w:val="1"/>
      <w:numFmt w:val="bullet"/>
      <w:lvlText w:val=""/>
      <w:lvlJc w:val="left"/>
      <w:pPr>
        <w:tabs>
          <w:tab w:val="left" w:pos="2121"/>
        </w:tabs>
        <w:ind w:left="2121" w:hanging="420"/>
      </w:pPr>
      <w:rPr>
        <w:rFonts w:hint="default" w:ascii="Wingdings" w:hAnsi="Wingdings"/>
      </w:rPr>
    </w:lvl>
    <w:lvl w:ilvl="1" w:tentative="0">
      <w:start w:val="1"/>
      <w:numFmt w:val="bullet"/>
      <w:lvlText w:val=""/>
      <w:lvlJc w:val="left"/>
      <w:pPr>
        <w:tabs>
          <w:tab w:val="left" w:pos="2541"/>
        </w:tabs>
        <w:ind w:left="2541" w:hanging="420"/>
      </w:pPr>
      <w:rPr>
        <w:rFonts w:hint="default" w:ascii="Wingdings" w:hAnsi="Wingdings"/>
      </w:rPr>
    </w:lvl>
    <w:lvl w:ilvl="2" w:tentative="0">
      <w:start w:val="1"/>
      <w:numFmt w:val="bullet"/>
      <w:lvlText w:val=""/>
      <w:lvlJc w:val="left"/>
      <w:pPr>
        <w:tabs>
          <w:tab w:val="left" w:pos="2961"/>
        </w:tabs>
        <w:ind w:left="2961" w:hanging="420"/>
      </w:pPr>
      <w:rPr>
        <w:rFonts w:hint="default" w:ascii="Wingdings" w:hAnsi="Wingdings"/>
      </w:rPr>
    </w:lvl>
    <w:lvl w:ilvl="3" w:tentative="0">
      <w:start w:val="1"/>
      <w:numFmt w:val="bullet"/>
      <w:lvlText w:val=""/>
      <w:lvlJc w:val="left"/>
      <w:pPr>
        <w:tabs>
          <w:tab w:val="left" w:pos="3381"/>
        </w:tabs>
        <w:ind w:left="3381" w:hanging="420"/>
      </w:pPr>
      <w:rPr>
        <w:rFonts w:hint="default" w:ascii="Wingdings" w:hAnsi="Wingdings"/>
      </w:rPr>
    </w:lvl>
    <w:lvl w:ilvl="4" w:tentative="0">
      <w:start w:val="1"/>
      <w:numFmt w:val="bullet"/>
      <w:lvlText w:val=""/>
      <w:lvlJc w:val="left"/>
      <w:pPr>
        <w:tabs>
          <w:tab w:val="left" w:pos="3801"/>
        </w:tabs>
        <w:ind w:left="3801" w:hanging="420"/>
      </w:pPr>
      <w:rPr>
        <w:rFonts w:hint="default" w:ascii="Wingdings" w:hAnsi="Wingdings"/>
      </w:rPr>
    </w:lvl>
    <w:lvl w:ilvl="5" w:tentative="0">
      <w:start w:val="1"/>
      <w:numFmt w:val="bullet"/>
      <w:lvlText w:val=""/>
      <w:lvlJc w:val="left"/>
      <w:pPr>
        <w:tabs>
          <w:tab w:val="left" w:pos="4221"/>
        </w:tabs>
        <w:ind w:left="4221" w:hanging="420"/>
      </w:pPr>
      <w:rPr>
        <w:rFonts w:hint="default" w:ascii="Wingdings" w:hAnsi="Wingdings"/>
      </w:rPr>
    </w:lvl>
    <w:lvl w:ilvl="6" w:tentative="0">
      <w:start w:val="1"/>
      <w:numFmt w:val="bullet"/>
      <w:lvlText w:val=""/>
      <w:lvlJc w:val="left"/>
      <w:pPr>
        <w:tabs>
          <w:tab w:val="left" w:pos="4641"/>
        </w:tabs>
        <w:ind w:left="4641" w:hanging="420"/>
      </w:pPr>
      <w:rPr>
        <w:rFonts w:hint="default" w:ascii="Wingdings" w:hAnsi="Wingdings"/>
      </w:rPr>
    </w:lvl>
    <w:lvl w:ilvl="7" w:tentative="0">
      <w:start w:val="1"/>
      <w:numFmt w:val="bullet"/>
      <w:lvlText w:val=""/>
      <w:lvlJc w:val="left"/>
      <w:pPr>
        <w:tabs>
          <w:tab w:val="left" w:pos="5061"/>
        </w:tabs>
        <w:ind w:left="5061" w:hanging="420"/>
      </w:pPr>
      <w:rPr>
        <w:rFonts w:hint="default" w:ascii="Wingdings" w:hAnsi="Wingdings"/>
      </w:rPr>
    </w:lvl>
    <w:lvl w:ilvl="8" w:tentative="0">
      <w:start w:val="1"/>
      <w:numFmt w:val="bullet"/>
      <w:lvlText w:val=""/>
      <w:lvlJc w:val="left"/>
      <w:pPr>
        <w:tabs>
          <w:tab w:val="left" w:pos="5481"/>
        </w:tabs>
        <w:ind w:left="5481"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9C"/>
    <w:rsid w:val="00001DF6"/>
    <w:rsid w:val="00012EF4"/>
    <w:rsid w:val="0003443C"/>
    <w:rsid w:val="00035313"/>
    <w:rsid w:val="0003616D"/>
    <w:rsid w:val="0003639E"/>
    <w:rsid w:val="000512CF"/>
    <w:rsid w:val="00051D9B"/>
    <w:rsid w:val="00053138"/>
    <w:rsid w:val="000533C1"/>
    <w:rsid w:val="00053641"/>
    <w:rsid w:val="00054835"/>
    <w:rsid w:val="0006075C"/>
    <w:rsid w:val="00063EBF"/>
    <w:rsid w:val="00064EA6"/>
    <w:rsid w:val="00073435"/>
    <w:rsid w:val="000747AF"/>
    <w:rsid w:val="00077042"/>
    <w:rsid w:val="0007792A"/>
    <w:rsid w:val="00085881"/>
    <w:rsid w:val="00085B77"/>
    <w:rsid w:val="00087B4F"/>
    <w:rsid w:val="000963BD"/>
    <w:rsid w:val="00096A3C"/>
    <w:rsid w:val="000978C0"/>
    <w:rsid w:val="000A0060"/>
    <w:rsid w:val="000A1341"/>
    <w:rsid w:val="000A4287"/>
    <w:rsid w:val="000B119B"/>
    <w:rsid w:val="000B26DE"/>
    <w:rsid w:val="000B4A56"/>
    <w:rsid w:val="000B5706"/>
    <w:rsid w:val="000B606F"/>
    <w:rsid w:val="000C2543"/>
    <w:rsid w:val="000E239A"/>
    <w:rsid w:val="000E400B"/>
    <w:rsid w:val="000F523D"/>
    <w:rsid w:val="000F59FD"/>
    <w:rsid w:val="000F696E"/>
    <w:rsid w:val="000F72EA"/>
    <w:rsid w:val="000F7D05"/>
    <w:rsid w:val="001006D2"/>
    <w:rsid w:val="00101B20"/>
    <w:rsid w:val="001035E2"/>
    <w:rsid w:val="0010687A"/>
    <w:rsid w:val="00106DE3"/>
    <w:rsid w:val="00107A6F"/>
    <w:rsid w:val="001179BF"/>
    <w:rsid w:val="00120696"/>
    <w:rsid w:val="001211E7"/>
    <w:rsid w:val="00126358"/>
    <w:rsid w:val="00131B9D"/>
    <w:rsid w:val="00132BEC"/>
    <w:rsid w:val="00133D43"/>
    <w:rsid w:val="00141084"/>
    <w:rsid w:val="0014610B"/>
    <w:rsid w:val="00147377"/>
    <w:rsid w:val="00147A27"/>
    <w:rsid w:val="001543B0"/>
    <w:rsid w:val="001607EF"/>
    <w:rsid w:val="0016106D"/>
    <w:rsid w:val="0016496B"/>
    <w:rsid w:val="00167CF6"/>
    <w:rsid w:val="00172670"/>
    <w:rsid w:val="00172A27"/>
    <w:rsid w:val="00180A9F"/>
    <w:rsid w:val="00181F9F"/>
    <w:rsid w:val="00186F32"/>
    <w:rsid w:val="00191302"/>
    <w:rsid w:val="0019168B"/>
    <w:rsid w:val="00194261"/>
    <w:rsid w:val="00194697"/>
    <w:rsid w:val="00196B11"/>
    <w:rsid w:val="00197F3C"/>
    <w:rsid w:val="001A0C35"/>
    <w:rsid w:val="001A7F66"/>
    <w:rsid w:val="001C0BE2"/>
    <w:rsid w:val="001C1EEA"/>
    <w:rsid w:val="001C2465"/>
    <w:rsid w:val="001C364C"/>
    <w:rsid w:val="001C407A"/>
    <w:rsid w:val="001D46C6"/>
    <w:rsid w:val="001D56AA"/>
    <w:rsid w:val="001E2E1F"/>
    <w:rsid w:val="001E5676"/>
    <w:rsid w:val="001F1AF1"/>
    <w:rsid w:val="001F39DD"/>
    <w:rsid w:val="001F73CE"/>
    <w:rsid w:val="001F73F6"/>
    <w:rsid w:val="00207760"/>
    <w:rsid w:val="0021029A"/>
    <w:rsid w:val="00210F8D"/>
    <w:rsid w:val="0021511B"/>
    <w:rsid w:val="0021640D"/>
    <w:rsid w:val="002222C7"/>
    <w:rsid w:val="00225312"/>
    <w:rsid w:val="00225870"/>
    <w:rsid w:val="00226D64"/>
    <w:rsid w:val="00233FCF"/>
    <w:rsid w:val="00234A9D"/>
    <w:rsid w:val="00235281"/>
    <w:rsid w:val="00237B2D"/>
    <w:rsid w:val="00240509"/>
    <w:rsid w:val="00240CAD"/>
    <w:rsid w:val="00242442"/>
    <w:rsid w:val="00252BAF"/>
    <w:rsid w:val="002611B3"/>
    <w:rsid w:val="00263272"/>
    <w:rsid w:val="00271642"/>
    <w:rsid w:val="00271CF9"/>
    <w:rsid w:val="00272757"/>
    <w:rsid w:val="00274668"/>
    <w:rsid w:val="00275B20"/>
    <w:rsid w:val="00276EA1"/>
    <w:rsid w:val="00282CF4"/>
    <w:rsid w:val="002835D3"/>
    <w:rsid w:val="002836E9"/>
    <w:rsid w:val="00283E1F"/>
    <w:rsid w:val="002860B8"/>
    <w:rsid w:val="00290B86"/>
    <w:rsid w:val="002A1904"/>
    <w:rsid w:val="002A2715"/>
    <w:rsid w:val="002A2BDA"/>
    <w:rsid w:val="002A4609"/>
    <w:rsid w:val="002A6004"/>
    <w:rsid w:val="002B056B"/>
    <w:rsid w:val="002B08AA"/>
    <w:rsid w:val="002B192B"/>
    <w:rsid w:val="002B2148"/>
    <w:rsid w:val="002B32D9"/>
    <w:rsid w:val="002B6313"/>
    <w:rsid w:val="002B7A7A"/>
    <w:rsid w:val="002C660C"/>
    <w:rsid w:val="002C7811"/>
    <w:rsid w:val="002D18E9"/>
    <w:rsid w:val="002D2747"/>
    <w:rsid w:val="002D46F5"/>
    <w:rsid w:val="002E000D"/>
    <w:rsid w:val="002E050D"/>
    <w:rsid w:val="002E18FC"/>
    <w:rsid w:val="002E1D7C"/>
    <w:rsid w:val="002E278F"/>
    <w:rsid w:val="002E3587"/>
    <w:rsid w:val="002E45B2"/>
    <w:rsid w:val="002F7647"/>
    <w:rsid w:val="00300289"/>
    <w:rsid w:val="003010E9"/>
    <w:rsid w:val="003027A4"/>
    <w:rsid w:val="00302C10"/>
    <w:rsid w:val="003033E6"/>
    <w:rsid w:val="00306A91"/>
    <w:rsid w:val="00313AA6"/>
    <w:rsid w:val="00313C48"/>
    <w:rsid w:val="00315DD0"/>
    <w:rsid w:val="003169E7"/>
    <w:rsid w:val="00322B37"/>
    <w:rsid w:val="00323817"/>
    <w:rsid w:val="00324D2F"/>
    <w:rsid w:val="00325667"/>
    <w:rsid w:val="0033183D"/>
    <w:rsid w:val="00332899"/>
    <w:rsid w:val="00333585"/>
    <w:rsid w:val="0033360D"/>
    <w:rsid w:val="00336D2F"/>
    <w:rsid w:val="00341806"/>
    <w:rsid w:val="00341C19"/>
    <w:rsid w:val="0034380A"/>
    <w:rsid w:val="00344D9E"/>
    <w:rsid w:val="00345938"/>
    <w:rsid w:val="00346A32"/>
    <w:rsid w:val="0034725E"/>
    <w:rsid w:val="0034792D"/>
    <w:rsid w:val="0035148F"/>
    <w:rsid w:val="003526DB"/>
    <w:rsid w:val="00355472"/>
    <w:rsid w:val="003704DE"/>
    <w:rsid w:val="00375D3F"/>
    <w:rsid w:val="003806AF"/>
    <w:rsid w:val="00381147"/>
    <w:rsid w:val="00381335"/>
    <w:rsid w:val="00383929"/>
    <w:rsid w:val="003854BC"/>
    <w:rsid w:val="00386E4E"/>
    <w:rsid w:val="0039194C"/>
    <w:rsid w:val="00393290"/>
    <w:rsid w:val="003955A1"/>
    <w:rsid w:val="0039706A"/>
    <w:rsid w:val="00397737"/>
    <w:rsid w:val="003A05E8"/>
    <w:rsid w:val="003A0C52"/>
    <w:rsid w:val="003A10D7"/>
    <w:rsid w:val="003A1ED1"/>
    <w:rsid w:val="003A3CB3"/>
    <w:rsid w:val="003B45B4"/>
    <w:rsid w:val="003B5FD6"/>
    <w:rsid w:val="003B6983"/>
    <w:rsid w:val="003B79B0"/>
    <w:rsid w:val="003C535B"/>
    <w:rsid w:val="003C5CFA"/>
    <w:rsid w:val="003D6097"/>
    <w:rsid w:val="003D63E7"/>
    <w:rsid w:val="003D7BC1"/>
    <w:rsid w:val="003E3AEB"/>
    <w:rsid w:val="003E448E"/>
    <w:rsid w:val="003E468F"/>
    <w:rsid w:val="003E47F7"/>
    <w:rsid w:val="003E6A09"/>
    <w:rsid w:val="003E7039"/>
    <w:rsid w:val="003F3802"/>
    <w:rsid w:val="00401640"/>
    <w:rsid w:val="004111CA"/>
    <w:rsid w:val="00412B39"/>
    <w:rsid w:val="00417631"/>
    <w:rsid w:val="00417B23"/>
    <w:rsid w:val="00420262"/>
    <w:rsid w:val="00424356"/>
    <w:rsid w:val="00425615"/>
    <w:rsid w:val="00434F9B"/>
    <w:rsid w:val="00441957"/>
    <w:rsid w:val="00443A93"/>
    <w:rsid w:val="004509E4"/>
    <w:rsid w:val="00452CCD"/>
    <w:rsid w:val="00453AB4"/>
    <w:rsid w:val="00456256"/>
    <w:rsid w:val="00461327"/>
    <w:rsid w:val="004616BB"/>
    <w:rsid w:val="00462F90"/>
    <w:rsid w:val="00464859"/>
    <w:rsid w:val="00464D51"/>
    <w:rsid w:val="00465331"/>
    <w:rsid w:val="00465732"/>
    <w:rsid w:val="00471A45"/>
    <w:rsid w:val="00472921"/>
    <w:rsid w:val="00480351"/>
    <w:rsid w:val="00481274"/>
    <w:rsid w:val="00482240"/>
    <w:rsid w:val="00482D41"/>
    <w:rsid w:val="00485DBE"/>
    <w:rsid w:val="00490359"/>
    <w:rsid w:val="00494642"/>
    <w:rsid w:val="00494F44"/>
    <w:rsid w:val="004A1F4A"/>
    <w:rsid w:val="004A60CD"/>
    <w:rsid w:val="004B37D3"/>
    <w:rsid w:val="004B3867"/>
    <w:rsid w:val="004B44E8"/>
    <w:rsid w:val="004B47B8"/>
    <w:rsid w:val="004B6E62"/>
    <w:rsid w:val="004C08C6"/>
    <w:rsid w:val="004C3F57"/>
    <w:rsid w:val="004D03B1"/>
    <w:rsid w:val="004D43A8"/>
    <w:rsid w:val="004D46A5"/>
    <w:rsid w:val="004D7136"/>
    <w:rsid w:val="004E0124"/>
    <w:rsid w:val="004E2E05"/>
    <w:rsid w:val="004E61A3"/>
    <w:rsid w:val="004E6DCD"/>
    <w:rsid w:val="004F60CF"/>
    <w:rsid w:val="0050062E"/>
    <w:rsid w:val="00500A30"/>
    <w:rsid w:val="00501A01"/>
    <w:rsid w:val="005024AD"/>
    <w:rsid w:val="00504325"/>
    <w:rsid w:val="00517928"/>
    <w:rsid w:val="0052122F"/>
    <w:rsid w:val="00524E95"/>
    <w:rsid w:val="00531FEF"/>
    <w:rsid w:val="0053620C"/>
    <w:rsid w:val="0053670F"/>
    <w:rsid w:val="0054182A"/>
    <w:rsid w:val="00542FC9"/>
    <w:rsid w:val="0055524C"/>
    <w:rsid w:val="0055705E"/>
    <w:rsid w:val="00557BD8"/>
    <w:rsid w:val="005606FF"/>
    <w:rsid w:val="00560CB0"/>
    <w:rsid w:val="00566BBC"/>
    <w:rsid w:val="00566CBE"/>
    <w:rsid w:val="00567DD7"/>
    <w:rsid w:val="00570248"/>
    <w:rsid w:val="00571D7F"/>
    <w:rsid w:val="005742C3"/>
    <w:rsid w:val="00574BCD"/>
    <w:rsid w:val="00576512"/>
    <w:rsid w:val="00583B56"/>
    <w:rsid w:val="00583DBB"/>
    <w:rsid w:val="0058715E"/>
    <w:rsid w:val="0059577D"/>
    <w:rsid w:val="005972D6"/>
    <w:rsid w:val="005A2335"/>
    <w:rsid w:val="005A26C3"/>
    <w:rsid w:val="005A2733"/>
    <w:rsid w:val="005A354A"/>
    <w:rsid w:val="005B40DB"/>
    <w:rsid w:val="005B52D2"/>
    <w:rsid w:val="005B7740"/>
    <w:rsid w:val="005C01CB"/>
    <w:rsid w:val="005C27FD"/>
    <w:rsid w:val="005C3AD5"/>
    <w:rsid w:val="005C61AE"/>
    <w:rsid w:val="005C6907"/>
    <w:rsid w:val="005C7912"/>
    <w:rsid w:val="005D0CAB"/>
    <w:rsid w:val="005D139E"/>
    <w:rsid w:val="005D2521"/>
    <w:rsid w:val="005D6671"/>
    <w:rsid w:val="005D7D06"/>
    <w:rsid w:val="005E4B44"/>
    <w:rsid w:val="005E6A1D"/>
    <w:rsid w:val="005E72BF"/>
    <w:rsid w:val="005E7B73"/>
    <w:rsid w:val="005E7F44"/>
    <w:rsid w:val="005F02A5"/>
    <w:rsid w:val="005F1875"/>
    <w:rsid w:val="005F271E"/>
    <w:rsid w:val="005F2A3A"/>
    <w:rsid w:val="005F521A"/>
    <w:rsid w:val="005F65B8"/>
    <w:rsid w:val="005F6718"/>
    <w:rsid w:val="00602BDF"/>
    <w:rsid w:val="00603D55"/>
    <w:rsid w:val="00605B1C"/>
    <w:rsid w:val="00606204"/>
    <w:rsid w:val="00606852"/>
    <w:rsid w:val="0061047D"/>
    <w:rsid w:val="00610B66"/>
    <w:rsid w:val="00612375"/>
    <w:rsid w:val="00612553"/>
    <w:rsid w:val="006137AB"/>
    <w:rsid w:val="00623399"/>
    <w:rsid w:val="006236FB"/>
    <w:rsid w:val="0062392A"/>
    <w:rsid w:val="00625377"/>
    <w:rsid w:val="0062589E"/>
    <w:rsid w:val="00627B88"/>
    <w:rsid w:val="00630234"/>
    <w:rsid w:val="00634E3D"/>
    <w:rsid w:val="00635832"/>
    <w:rsid w:val="00635DA9"/>
    <w:rsid w:val="0063601B"/>
    <w:rsid w:val="00637535"/>
    <w:rsid w:val="00637FBE"/>
    <w:rsid w:val="00641652"/>
    <w:rsid w:val="00650E86"/>
    <w:rsid w:val="00651AE3"/>
    <w:rsid w:val="00651D56"/>
    <w:rsid w:val="00656455"/>
    <w:rsid w:val="00660392"/>
    <w:rsid w:val="006638BB"/>
    <w:rsid w:val="0066665D"/>
    <w:rsid w:val="00672C37"/>
    <w:rsid w:val="00674B77"/>
    <w:rsid w:val="006825B4"/>
    <w:rsid w:val="00684895"/>
    <w:rsid w:val="006853C3"/>
    <w:rsid w:val="006871F5"/>
    <w:rsid w:val="00692697"/>
    <w:rsid w:val="006935E5"/>
    <w:rsid w:val="00696684"/>
    <w:rsid w:val="006A5D96"/>
    <w:rsid w:val="006A5E54"/>
    <w:rsid w:val="006B2FE7"/>
    <w:rsid w:val="006B7F3A"/>
    <w:rsid w:val="006C1A7F"/>
    <w:rsid w:val="006C26E8"/>
    <w:rsid w:val="006C2A69"/>
    <w:rsid w:val="006C48CE"/>
    <w:rsid w:val="006C4906"/>
    <w:rsid w:val="006C6A48"/>
    <w:rsid w:val="006D0844"/>
    <w:rsid w:val="006D5357"/>
    <w:rsid w:val="006E32AB"/>
    <w:rsid w:val="006E3960"/>
    <w:rsid w:val="006E3C8E"/>
    <w:rsid w:val="006E5691"/>
    <w:rsid w:val="006E7372"/>
    <w:rsid w:val="006E7C8B"/>
    <w:rsid w:val="006F3542"/>
    <w:rsid w:val="00701BA6"/>
    <w:rsid w:val="007023CE"/>
    <w:rsid w:val="00704425"/>
    <w:rsid w:val="00705263"/>
    <w:rsid w:val="00705900"/>
    <w:rsid w:val="00707118"/>
    <w:rsid w:val="00712CD8"/>
    <w:rsid w:val="007147B0"/>
    <w:rsid w:val="00716806"/>
    <w:rsid w:val="007168F9"/>
    <w:rsid w:val="00717E8D"/>
    <w:rsid w:val="00727067"/>
    <w:rsid w:val="007307DC"/>
    <w:rsid w:val="00731191"/>
    <w:rsid w:val="0073594C"/>
    <w:rsid w:val="00735997"/>
    <w:rsid w:val="00740163"/>
    <w:rsid w:val="007464FC"/>
    <w:rsid w:val="0075061A"/>
    <w:rsid w:val="00751A94"/>
    <w:rsid w:val="007529F4"/>
    <w:rsid w:val="00754CB0"/>
    <w:rsid w:val="00761532"/>
    <w:rsid w:val="007639A0"/>
    <w:rsid w:val="00763CCD"/>
    <w:rsid w:val="00764441"/>
    <w:rsid w:val="007659A9"/>
    <w:rsid w:val="00765DA7"/>
    <w:rsid w:val="00765EE1"/>
    <w:rsid w:val="0077265B"/>
    <w:rsid w:val="00772AB3"/>
    <w:rsid w:val="0077322A"/>
    <w:rsid w:val="00774F03"/>
    <w:rsid w:val="007806D6"/>
    <w:rsid w:val="00781BC0"/>
    <w:rsid w:val="00783CA7"/>
    <w:rsid w:val="00785312"/>
    <w:rsid w:val="00790388"/>
    <w:rsid w:val="0079588F"/>
    <w:rsid w:val="00797172"/>
    <w:rsid w:val="00797B59"/>
    <w:rsid w:val="00797E09"/>
    <w:rsid w:val="007A11A8"/>
    <w:rsid w:val="007A16FD"/>
    <w:rsid w:val="007A1E89"/>
    <w:rsid w:val="007A480D"/>
    <w:rsid w:val="007A54A0"/>
    <w:rsid w:val="007A74E5"/>
    <w:rsid w:val="007B2C9E"/>
    <w:rsid w:val="007B35C6"/>
    <w:rsid w:val="007B7A81"/>
    <w:rsid w:val="007B7C04"/>
    <w:rsid w:val="007C17FF"/>
    <w:rsid w:val="007C56E5"/>
    <w:rsid w:val="007D2320"/>
    <w:rsid w:val="007D26A3"/>
    <w:rsid w:val="007D4F09"/>
    <w:rsid w:val="007E32FD"/>
    <w:rsid w:val="007E3631"/>
    <w:rsid w:val="007E3B49"/>
    <w:rsid w:val="007E5913"/>
    <w:rsid w:val="007F0BA5"/>
    <w:rsid w:val="008017CE"/>
    <w:rsid w:val="00802A83"/>
    <w:rsid w:val="00803409"/>
    <w:rsid w:val="00806ED0"/>
    <w:rsid w:val="00812528"/>
    <w:rsid w:val="0081580D"/>
    <w:rsid w:val="00815EE8"/>
    <w:rsid w:val="00827CD3"/>
    <w:rsid w:val="008312A6"/>
    <w:rsid w:val="00832BC5"/>
    <w:rsid w:val="0084117D"/>
    <w:rsid w:val="00843371"/>
    <w:rsid w:val="008528FC"/>
    <w:rsid w:val="00860909"/>
    <w:rsid w:val="00870D71"/>
    <w:rsid w:val="008744AE"/>
    <w:rsid w:val="0087797C"/>
    <w:rsid w:val="008815F0"/>
    <w:rsid w:val="008830AE"/>
    <w:rsid w:val="008856D2"/>
    <w:rsid w:val="00890249"/>
    <w:rsid w:val="00891E30"/>
    <w:rsid w:val="0089201D"/>
    <w:rsid w:val="00892494"/>
    <w:rsid w:val="00892F57"/>
    <w:rsid w:val="00893AE6"/>
    <w:rsid w:val="00895F26"/>
    <w:rsid w:val="0089662B"/>
    <w:rsid w:val="008A4B91"/>
    <w:rsid w:val="008A6DB6"/>
    <w:rsid w:val="008A7DA9"/>
    <w:rsid w:val="008B016A"/>
    <w:rsid w:val="008B3199"/>
    <w:rsid w:val="008B4AAB"/>
    <w:rsid w:val="008B66F9"/>
    <w:rsid w:val="008C06BF"/>
    <w:rsid w:val="008C1E81"/>
    <w:rsid w:val="008C4DA7"/>
    <w:rsid w:val="008C5F6A"/>
    <w:rsid w:val="008C7D9A"/>
    <w:rsid w:val="008D0767"/>
    <w:rsid w:val="008D094F"/>
    <w:rsid w:val="008D0BEF"/>
    <w:rsid w:val="008D3EE5"/>
    <w:rsid w:val="008D560F"/>
    <w:rsid w:val="008D6018"/>
    <w:rsid w:val="008E0BBA"/>
    <w:rsid w:val="008F10D5"/>
    <w:rsid w:val="008F153E"/>
    <w:rsid w:val="008F1D3E"/>
    <w:rsid w:val="008F5A0A"/>
    <w:rsid w:val="008F5AA9"/>
    <w:rsid w:val="008F7A41"/>
    <w:rsid w:val="00915624"/>
    <w:rsid w:val="00920372"/>
    <w:rsid w:val="00920BF2"/>
    <w:rsid w:val="00926E5F"/>
    <w:rsid w:val="00927AE0"/>
    <w:rsid w:val="0093165B"/>
    <w:rsid w:val="009415A2"/>
    <w:rsid w:val="00942C95"/>
    <w:rsid w:val="00946763"/>
    <w:rsid w:val="00952BA0"/>
    <w:rsid w:val="00955964"/>
    <w:rsid w:val="00956AB0"/>
    <w:rsid w:val="00956AD6"/>
    <w:rsid w:val="009605C7"/>
    <w:rsid w:val="00962FC3"/>
    <w:rsid w:val="009630E5"/>
    <w:rsid w:val="009639AA"/>
    <w:rsid w:val="00965366"/>
    <w:rsid w:val="009659FE"/>
    <w:rsid w:val="00966592"/>
    <w:rsid w:val="00967C7D"/>
    <w:rsid w:val="009713BB"/>
    <w:rsid w:val="00971A9E"/>
    <w:rsid w:val="009730AC"/>
    <w:rsid w:val="00977BEC"/>
    <w:rsid w:val="00981B78"/>
    <w:rsid w:val="00982C94"/>
    <w:rsid w:val="00983CC2"/>
    <w:rsid w:val="00984CBD"/>
    <w:rsid w:val="00985082"/>
    <w:rsid w:val="00985590"/>
    <w:rsid w:val="00985698"/>
    <w:rsid w:val="00986939"/>
    <w:rsid w:val="009A29E5"/>
    <w:rsid w:val="009A3BC8"/>
    <w:rsid w:val="009A624E"/>
    <w:rsid w:val="009A6F46"/>
    <w:rsid w:val="009B0A43"/>
    <w:rsid w:val="009B24B9"/>
    <w:rsid w:val="009B30FF"/>
    <w:rsid w:val="009B3866"/>
    <w:rsid w:val="009B5E31"/>
    <w:rsid w:val="009B6B7B"/>
    <w:rsid w:val="009B7E27"/>
    <w:rsid w:val="009C095B"/>
    <w:rsid w:val="009C0B44"/>
    <w:rsid w:val="009C4665"/>
    <w:rsid w:val="009C7D16"/>
    <w:rsid w:val="009D1D8F"/>
    <w:rsid w:val="009D30DF"/>
    <w:rsid w:val="009D5CB6"/>
    <w:rsid w:val="009D699D"/>
    <w:rsid w:val="009E35AD"/>
    <w:rsid w:val="009E6B3D"/>
    <w:rsid w:val="009E73BE"/>
    <w:rsid w:val="009F14E3"/>
    <w:rsid w:val="009F40C1"/>
    <w:rsid w:val="009F5BC8"/>
    <w:rsid w:val="009F5F9B"/>
    <w:rsid w:val="009F6AF4"/>
    <w:rsid w:val="00A00905"/>
    <w:rsid w:val="00A00A49"/>
    <w:rsid w:val="00A0523B"/>
    <w:rsid w:val="00A05780"/>
    <w:rsid w:val="00A059BD"/>
    <w:rsid w:val="00A06A3F"/>
    <w:rsid w:val="00A07E28"/>
    <w:rsid w:val="00A11C43"/>
    <w:rsid w:val="00A138B6"/>
    <w:rsid w:val="00A14E30"/>
    <w:rsid w:val="00A15B8B"/>
    <w:rsid w:val="00A2204E"/>
    <w:rsid w:val="00A2264B"/>
    <w:rsid w:val="00A27A97"/>
    <w:rsid w:val="00A30E75"/>
    <w:rsid w:val="00A34814"/>
    <w:rsid w:val="00A35243"/>
    <w:rsid w:val="00A36866"/>
    <w:rsid w:val="00A42C2C"/>
    <w:rsid w:val="00A52265"/>
    <w:rsid w:val="00A55BD0"/>
    <w:rsid w:val="00A57FB9"/>
    <w:rsid w:val="00A6048B"/>
    <w:rsid w:val="00A613E8"/>
    <w:rsid w:val="00A62246"/>
    <w:rsid w:val="00A640C6"/>
    <w:rsid w:val="00A64947"/>
    <w:rsid w:val="00A6508C"/>
    <w:rsid w:val="00A673D3"/>
    <w:rsid w:val="00A67A52"/>
    <w:rsid w:val="00A70BD4"/>
    <w:rsid w:val="00A728E3"/>
    <w:rsid w:val="00A74252"/>
    <w:rsid w:val="00A75EA2"/>
    <w:rsid w:val="00A846E7"/>
    <w:rsid w:val="00A862A4"/>
    <w:rsid w:val="00A86847"/>
    <w:rsid w:val="00A86D9F"/>
    <w:rsid w:val="00A920BC"/>
    <w:rsid w:val="00AA104E"/>
    <w:rsid w:val="00AA110A"/>
    <w:rsid w:val="00AA141C"/>
    <w:rsid w:val="00AA1FDE"/>
    <w:rsid w:val="00AA71A9"/>
    <w:rsid w:val="00AB3DA1"/>
    <w:rsid w:val="00AB7F60"/>
    <w:rsid w:val="00AC265C"/>
    <w:rsid w:val="00AC2B7E"/>
    <w:rsid w:val="00AC35DC"/>
    <w:rsid w:val="00AC4553"/>
    <w:rsid w:val="00AC51C0"/>
    <w:rsid w:val="00AC627E"/>
    <w:rsid w:val="00AD18CC"/>
    <w:rsid w:val="00AD2242"/>
    <w:rsid w:val="00AD5C75"/>
    <w:rsid w:val="00AE1062"/>
    <w:rsid w:val="00AE12C7"/>
    <w:rsid w:val="00AE51BA"/>
    <w:rsid w:val="00AE5564"/>
    <w:rsid w:val="00AE5C17"/>
    <w:rsid w:val="00AF0FB6"/>
    <w:rsid w:val="00AF1C80"/>
    <w:rsid w:val="00B05E0F"/>
    <w:rsid w:val="00B115C7"/>
    <w:rsid w:val="00B12953"/>
    <w:rsid w:val="00B26AB8"/>
    <w:rsid w:val="00B2709B"/>
    <w:rsid w:val="00B319F7"/>
    <w:rsid w:val="00B33AF1"/>
    <w:rsid w:val="00B3462A"/>
    <w:rsid w:val="00B348E0"/>
    <w:rsid w:val="00B4150C"/>
    <w:rsid w:val="00B41FD1"/>
    <w:rsid w:val="00B502EF"/>
    <w:rsid w:val="00B52A46"/>
    <w:rsid w:val="00B56388"/>
    <w:rsid w:val="00B568B1"/>
    <w:rsid w:val="00B61ECE"/>
    <w:rsid w:val="00B8120F"/>
    <w:rsid w:val="00B94828"/>
    <w:rsid w:val="00B94BB6"/>
    <w:rsid w:val="00B94C38"/>
    <w:rsid w:val="00BB081E"/>
    <w:rsid w:val="00BB1535"/>
    <w:rsid w:val="00BB4807"/>
    <w:rsid w:val="00BB6B0E"/>
    <w:rsid w:val="00BC0E73"/>
    <w:rsid w:val="00BC366D"/>
    <w:rsid w:val="00BC493D"/>
    <w:rsid w:val="00BD1CEF"/>
    <w:rsid w:val="00BD258E"/>
    <w:rsid w:val="00BD307A"/>
    <w:rsid w:val="00BD39EE"/>
    <w:rsid w:val="00BD5428"/>
    <w:rsid w:val="00BE0B9E"/>
    <w:rsid w:val="00BE1F81"/>
    <w:rsid w:val="00BF395B"/>
    <w:rsid w:val="00BF40A6"/>
    <w:rsid w:val="00BF4564"/>
    <w:rsid w:val="00BF4673"/>
    <w:rsid w:val="00BF699E"/>
    <w:rsid w:val="00C00472"/>
    <w:rsid w:val="00C00A42"/>
    <w:rsid w:val="00C00E6E"/>
    <w:rsid w:val="00C0275F"/>
    <w:rsid w:val="00C06277"/>
    <w:rsid w:val="00C10630"/>
    <w:rsid w:val="00C112AF"/>
    <w:rsid w:val="00C130C4"/>
    <w:rsid w:val="00C20648"/>
    <w:rsid w:val="00C2754E"/>
    <w:rsid w:val="00C337EC"/>
    <w:rsid w:val="00C35884"/>
    <w:rsid w:val="00C503D6"/>
    <w:rsid w:val="00C50B06"/>
    <w:rsid w:val="00C50B9D"/>
    <w:rsid w:val="00C51F02"/>
    <w:rsid w:val="00C5274C"/>
    <w:rsid w:val="00C6464C"/>
    <w:rsid w:val="00C65EFA"/>
    <w:rsid w:val="00C66E5F"/>
    <w:rsid w:val="00C677AC"/>
    <w:rsid w:val="00C67B39"/>
    <w:rsid w:val="00C72224"/>
    <w:rsid w:val="00C741A0"/>
    <w:rsid w:val="00C7471E"/>
    <w:rsid w:val="00C75E94"/>
    <w:rsid w:val="00C7662E"/>
    <w:rsid w:val="00C771CF"/>
    <w:rsid w:val="00C7749E"/>
    <w:rsid w:val="00C80E2F"/>
    <w:rsid w:val="00C80EE9"/>
    <w:rsid w:val="00C835A7"/>
    <w:rsid w:val="00C8726A"/>
    <w:rsid w:val="00C906C5"/>
    <w:rsid w:val="00C90E0B"/>
    <w:rsid w:val="00C91175"/>
    <w:rsid w:val="00C943AE"/>
    <w:rsid w:val="00C95A85"/>
    <w:rsid w:val="00C9601B"/>
    <w:rsid w:val="00CA03CD"/>
    <w:rsid w:val="00CA1893"/>
    <w:rsid w:val="00CA3264"/>
    <w:rsid w:val="00CA3609"/>
    <w:rsid w:val="00CA6B8E"/>
    <w:rsid w:val="00CB18E1"/>
    <w:rsid w:val="00CB6A02"/>
    <w:rsid w:val="00CC243D"/>
    <w:rsid w:val="00CC35C4"/>
    <w:rsid w:val="00CC412D"/>
    <w:rsid w:val="00CC4F5C"/>
    <w:rsid w:val="00CC63F2"/>
    <w:rsid w:val="00CC7341"/>
    <w:rsid w:val="00CD0790"/>
    <w:rsid w:val="00CD268B"/>
    <w:rsid w:val="00CD2F6C"/>
    <w:rsid w:val="00CD5EAC"/>
    <w:rsid w:val="00CD6768"/>
    <w:rsid w:val="00CE0253"/>
    <w:rsid w:val="00CE3018"/>
    <w:rsid w:val="00CE46F8"/>
    <w:rsid w:val="00CE4B3E"/>
    <w:rsid w:val="00CE5019"/>
    <w:rsid w:val="00CE5649"/>
    <w:rsid w:val="00CF04D1"/>
    <w:rsid w:val="00CF0887"/>
    <w:rsid w:val="00CF1B14"/>
    <w:rsid w:val="00CF1C61"/>
    <w:rsid w:val="00CF2684"/>
    <w:rsid w:val="00CF37A7"/>
    <w:rsid w:val="00CF5302"/>
    <w:rsid w:val="00CF6A1A"/>
    <w:rsid w:val="00CF732D"/>
    <w:rsid w:val="00CF7653"/>
    <w:rsid w:val="00D01865"/>
    <w:rsid w:val="00D04F76"/>
    <w:rsid w:val="00D114D6"/>
    <w:rsid w:val="00D1332A"/>
    <w:rsid w:val="00D155E4"/>
    <w:rsid w:val="00D170FF"/>
    <w:rsid w:val="00D1744C"/>
    <w:rsid w:val="00D20C7E"/>
    <w:rsid w:val="00D2514F"/>
    <w:rsid w:val="00D25DDC"/>
    <w:rsid w:val="00D31416"/>
    <w:rsid w:val="00D31AE9"/>
    <w:rsid w:val="00D33E82"/>
    <w:rsid w:val="00D35DE7"/>
    <w:rsid w:val="00D35E7E"/>
    <w:rsid w:val="00D364C6"/>
    <w:rsid w:val="00D436D4"/>
    <w:rsid w:val="00D5651A"/>
    <w:rsid w:val="00D57EA1"/>
    <w:rsid w:val="00D67D2D"/>
    <w:rsid w:val="00D74A38"/>
    <w:rsid w:val="00D76F4E"/>
    <w:rsid w:val="00D94552"/>
    <w:rsid w:val="00D970D4"/>
    <w:rsid w:val="00DA1A2D"/>
    <w:rsid w:val="00DA6975"/>
    <w:rsid w:val="00DB093E"/>
    <w:rsid w:val="00DB1577"/>
    <w:rsid w:val="00DB37C8"/>
    <w:rsid w:val="00DB7F92"/>
    <w:rsid w:val="00DC07B4"/>
    <w:rsid w:val="00DD3813"/>
    <w:rsid w:val="00DD4558"/>
    <w:rsid w:val="00DD478B"/>
    <w:rsid w:val="00DD5AD5"/>
    <w:rsid w:val="00DE27B8"/>
    <w:rsid w:val="00DE3511"/>
    <w:rsid w:val="00DE551C"/>
    <w:rsid w:val="00DE799A"/>
    <w:rsid w:val="00DF4495"/>
    <w:rsid w:val="00DF48BF"/>
    <w:rsid w:val="00DF5E71"/>
    <w:rsid w:val="00DF7A9F"/>
    <w:rsid w:val="00DF7F74"/>
    <w:rsid w:val="00E00C44"/>
    <w:rsid w:val="00E0392E"/>
    <w:rsid w:val="00E044E8"/>
    <w:rsid w:val="00E07771"/>
    <w:rsid w:val="00E10791"/>
    <w:rsid w:val="00E10CC2"/>
    <w:rsid w:val="00E10D07"/>
    <w:rsid w:val="00E13A70"/>
    <w:rsid w:val="00E15CF6"/>
    <w:rsid w:val="00E1685C"/>
    <w:rsid w:val="00E207C5"/>
    <w:rsid w:val="00E2361B"/>
    <w:rsid w:val="00E24689"/>
    <w:rsid w:val="00E24754"/>
    <w:rsid w:val="00E24E22"/>
    <w:rsid w:val="00E26694"/>
    <w:rsid w:val="00E33EDB"/>
    <w:rsid w:val="00E3491B"/>
    <w:rsid w:val="00E3499B"/>
    <w:rsid w:val="00E41378"/>
    <w:rsid w:val="00E467AA"/>
    <w:rsid w:val="00E56C6E"/>
    <w:rsid w:val="00E57D45"/>
    <w:rsid w:val="00E65BF6"/>
    <w:rsid w:val="00E67A72"/>
    <w:rsid w:val="00E70751"/>
    <w:rsid w:val="00E72CC4"/>
    <w:rsid w:val="00E73B50"/>
    <w:rsid w:val="00E73F10"/>
    <w:rsid w:val="00E74EF8"/>
    <w:rsid w:val="00E75589"/>
    <w:rsid w:val="00E767D0"/>
    <w:rsid w:val="00E768BD"/>
    <w:rsid w:val="00E76F32"/>
    <w:rsid w:val="00E849C8"/>
    <w:rsid w:val="00E874F1"/>
    <w:rsid w:val="00E87FEE"/>
    <w:rsid w:val="00E907CE"/>
    <w:rsid w:val="00E9213B"/>
    <w:rsid w:val="00E94B6C"/>
    <w:rsid w:val="00E95196"/>
    <w:rsid w:val="00E96831"/>
    <w:rsid w:val="00EA1755"/>
    <w:rsid w:val="00EA3D2D"/>
    <w:rsid w:val="00EA3F9B"/>
    <w:rsid w:val="00EA5502"/>
    <w:rsid w:val="00EA7E13"/>
    <w:rsid w:val="00EB560C"/>
    <w:rsid w:val="00EB7487"/>
    <w:rsid w:val="00EC0370"/>
    <w:rsid w:val="00EC2F2D"/>
    <w:rsid w:val="00EC3C65"/>
    <w:rsid w:val="00EC59BB"/>
    <w:rsid w:val="00ED07F4"/>
    <w:rsid w:val="00ED0F4B"/>
    <w:rsid w:val="00ED31A9"/>
    <w:rsid w:val="00EE1027"/>
    <w:rsid w:val="00EE2005"/>
    <w:rsid w:val="00EE28BA"/>
    <w:rsid w:val="00EF4AB0"/>
    <w:rsid w:val="00EF530F"/>
    <w:rsid w:val="00EF6DE9"/>
    <w:rsid w:val="00EF7772"/>
    <w:rsid w:val="00F04402"/>
    <w:rsid w:val="00F11B7A"/>
    <w:rsid w:val="00F1578A"/>
    <w:rsid w:val="00F208E6"/>
    <w:rsid w:val="00F2346C"/>
    <w:rsid w:val="00F23D67"/>
    <w:rsid w:val="00F251D4"/>
    <w:rsid w:val="00F34C11"/>
    <w:rsid w:val="00F360C1"/>
    <w:rsid w:val="00F406F7"/>
    <w:rsid w:val="00F40B1C"/>
    <w:rsid w:val="00F412C5"/>
    <w:rsid w:val="00F45C54"/>
    <w:rsid w:val="00F46FCD"/>
    <w:rsid w:val="00F51B73"/>
    <w:rsid w:val="00F57016"/>
    <w:rsid w:val="00F66313"/>
    <w:rsid w:val="00F667B0"/>
    <w:rsid w:val="00F70FDD"/>
    <w:rsid w:val="00F745F8"/>
    <w:rsid w:val="00F748DF"/>
    <w:rsid w:val="00F75B41"/>
    <w:rsid w:val="00F858D9"/>
    <w:rsid w:val="00F90CAC"/>
    <w:rsid w:val="00F91801"/>
    <w:rsid w:val="00F92A25"/>
    <w:rsid w:val="00F93C70"/>
    <w:rsid w:val="00F93D6A"/>
    <w:rsid w:val="00F940A1"/>
    <w:rsid w:val="00FA41E4"/>
    <w:rsid w:val="00FA4ADE"/>
    <w:rsid w:val="00FB16B9"/>
    <w:rsid w:val="00FB20B3"/>
    <w:rsid w:val="00FB779B"/>
    <w:rsid w:val="00FC17B7"/>
    <w:rsid w:val="00FC38DA"/>
    <w:rsid w:val="00FC53AB"/>
    <w:rsid w:val="00FC64F8"/>
    <w:rsid w:val="00FE07DD"/>
    <w:rsid w:val="00FE1E01"/>
    <w:rsid w:val="00FE23C3"/>
    <w:rsid w:val="00FE3A31"/>
    <w:rsid w:val="00FE4A98"/>
    <w:rsid w:val="00FF0A08"/>
    <w:rsid w:val="031A7217"/>
    <w:rsid w:val="0375343C"/>
    <w:rsid w:val="05C40A9E"/>
    <w:rsid w:val="0683788A"/>
    <w:rsid w:val="09867E53"/>
    <w:rsid w:val="09AB22A2"/>
    <w:rsid w:val="09C73D6D"/>
    <w:rsid w:val="0C3D5DD5"/>
    <w:rsid w:val="0E2616DC"/>
    <w:rsid w:val="0E5C0B7C"/>
    <w:rsid w:val="135067F4"/>
    <w:rsid w:val="15FC4669"/>
    <w:rsid w:val="1C940D4F"/>
    <w:rsid w:val="212A4045"/>
    <w:rsid w:val="221D6C29"/>
    <w:rsid w:val="22594DF1"/>
    <w:rsid w:val="22B340EA"/>
    <w:rsid w:val="24620ACF"/>
    <w:rsid w:val="27EB05C2"/>
    <w:rsid w:val="2A8D1693"/>
    <w:rsid w:val="2BCE7AB4"/>
    <w:rsid w:val="2C752B50"/>
    <w:rsid w:val="2FA848C3"/>
    <w:rsid w:val="30716DC7"/>
    <w:rsid w:val="316E5A55"/>
    <w:rsid w:val="32A21303"/>
    <w:rsid w:val="34BD2832"/>
    <w:rsid w:val="35951AC0"/>
    <w:rsid w:val="35EB5C31"/>
    <w:rsid w:val="3AB9092E"/>
    <w:rsid w:val="3B10504B"/>
    <w:rsid w:val="3BCD7B69"/>
    <w:rsid w:val="3EBC77F3"/>
    <w:rsid w:val="3F186B43"/>
    <w:rsid w:val="41884094"/>
    <w:rsid w:val="42DC2F05"/>
    <w:rsid w:val="44E712E1"/>
    <w:rsid w:val="480D3974"/>
    <w:rsid w:val="48A1060B"/>
    <w:rsid w:val="503410D0"/>
    <w:rsid w:val="55FE4F49"/>
    <w:rsid w:val="5671116D"/>
    <w:rsid w:val="58825FE5"/>
    <w:rsid w:val="5B577DF1"/>
    <w:rsid w:val="5E167CFF"/>
    <w:rsid w:val="5FA74BBC"/>
    <w:rsid w:val="6163341D"/>
    <w:rsid w:val="62F9016F"/>
    <w:rsid w:val="69BC580E"/>
    <w:rsid w:val="6B7D7D1F"/>
    <w:rsid w:val="70273983"/>
    <w:rsid w:val="7030766C"/>
    <w:rsid w:val="737D6EFD"/>
    <w:rsid w:val="76124BCA"/>
    <w:rsid w:val="768553F0"/>
    <w:rsid w:val="77837EB7"/>
    <w:rsid w:val="78E833A5"/>
    <w:rsid w:val="7F930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Narrow" w:hAnsi="Arial Narrow" w:eastAsia="宋体" w:cs="Times New Roman"/>
      <w:kern w:val="2"/>
      <w:sz w:val="24"/>
      <w:szCs w:val="24"/>
      <w:lang w:val="en-US" w:eastAsia="zh-CN" w:bidi="ar-SA"/>
    </w:rPr>
  </w:style>
  <w:style w:type="paragraph" w:styleId="2">
    <w:name w:val="heading 1"/>
    <w:basedOn w:val="1"/>
    <w:next w:val="1"/>
    <w:qFormat/>
    <w:uiPriority w:val="0"/>
    <w:pPr>
      <w:keepNext/>
      <w:keepLines/>
      <w:tabs>
        <w:tab w:val="left" w:pos="480"/>
      </w:tabs>
      <w:spacing w:before="156" w:beforeLines="50" w:after="156" w:afterLines="50"/>
      <w:outlineLvl w:val="0"/>
    </w:pPr>
    <w:rPr>
      <w:rFonts w:eastAsia="黑体"/>
      <w:bCs/>
      <w:kern w:val="44"/>
      <w:sz w:val="32"/>
      <w:szCs w:val="44"/>
    </w:rPr>
  </w:style>
  <w:style w:type="paragraph" w:styleId="3">
    <w:name w:val="heading 2"/>
    <w:basedOn w:val="1"/>
    <w:next w:val="1"/>
    <w:link w:val="61"/>
    <w:qFormat/>
    <w:uiPriority w:val="0"/>
    <w:pPr>
      <w:keepNext/>
      <w:keepLines/>
      <w:tabs>
        <w:tab w:val="left" w:pos="480"/>
      </w:tabs>
      <w:spacing w:before="156" w:beforeLines="50" w:after="156" w:afterLines="50"/>
      <w:outlineLvl w:val="1"/>
    </w:pPr>
    <w:rPr>
      <w:rFonts w:eastAsia="黑体"/>
      <w:bCs/>
      <w:szCs w:val="32"/>
    </w:rPr>
  </w:style>
  <w:style w:type="paragraph" w:styleId="4">
    <w:name w:val="heading 3"/>
    <w:basedOn w:val="1"/>
    <w:next w:val="1"/>
    <w:qFormat/>
    <w:uiPriority w:val="0"/>
    <w:pPr>
      <w:keepNext/>
      <w:keepLines/>
      <w:tabs>
        <w:tab w:val="left" w:pos="480"/>
      </w:tabs>
      <w:spacing w:before="156" w:beforeLines="50" w:after="156" w:afterLines="50"/>
      <w:outlineLvl w:val="2"/>
    </w:pPr>
    <w:rPr>
      <w:rFonts w:eastAsia="黑体"/>
      <w:bCs/>
      <w:szCs w:val="32"/>
    </w:rPr>
  </w:style>
  <w:style w:type="paragraph" w:styleId="5">
    <w:name w:val="heading 4"/>
    <w:basedOn w:val="1"/>
    <w:next w:val="1"/>
    <w:qFormat/>
    <w:uiPriority w:val="0"/>
    <w:pPr>
      <w:keepNext/>
      <w:keepLines/>
      <w:tabs>
        <w:tab w:val="left" w:pos="480"/>
      </w:tabs>
      <w:outlineLvl w:val="3"/>
    </w:pPr>
    <w:rPr>
      <w:bCs/>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rFonts w:ascii="Times New Roman" w:hAnsi="Times New Roman"/>
    </w:rPr>
  </w:style>
  <w:style w:type="paragraph" w:styleId="7">
    <w:name w:val="Normal Indent"/>
    <w:basedOn w:val="1"/>
    <w:qFormat/>
    <w:uiPriority w:val="0"/>
    <w:pPr>
      <w:snapToGrid w:val="0"/>
      <w:spacing w:line="300" w:lineRule="auto"/>
      <w:ind w:firstLine="420"/>
    </w:pPr>
    <w:rPr>
      <w:rFonts w:ascii="Times New Roman" w:hAnsi="Times New Roman"/>
      <w:szCs w:val="20"/>
    </w:rPr>
  </w:style>
  <w:style w:type="paragraph" w:styleId="8">
    <w:name w:val="Document Map"/>
    <w:basedOn w:val="1"/>
    <w:qFormat/>
    <w:uiPriority w:val="0"/>
    <w:pPr>
      <w:shd w:val="clear" w:color="auto" w:fill="000080"/>
    </w:pPr>
  </w:style>
  <w:style w:type="paragraph" w:styleId="9">
    <w:name w:val="annotation text"/>
    <w:basedOn w:val="1"/>
    <w:qFormat/>
    <w:uiPriority w:val="0"/>
    <w:pPr>
      <w:jc w:val="left"/>
    </w:pPr>
  </w:style>
  <w:style w:type="paragraph" w:styleId="10">
    <w:name w:val="Body Text"/>
    <w:basedOn w:val="1"/>
    <w:link w:val="66"/>
    <w:qFormat/>
    <w:uiPriority w:val="0"/>
    <w:pPr>
      <w:widowControl/>
      <w:ind w:left="1701"/>
    </w:pPr>
    <w:rPr>
      <w:rFonts w:cs="Arial"/>
      <w:kern w:val="24"/>
      <w:lang w:eastAsia="fr-FR"/>
    </w:rPr>
  </w:style>
  <w:style w:type="paragraph" w:styleId="11">
    <w:name w:val="Body Text Indent"/>
    <w:basedOn w:val="1"/>
    <w:qFormat/>
    <w:uiPriority w:val="0"/>
    <w:pPr>
      <w:widowControl/>
      <w:tabs>
        <w:tab w:val="left" w:pos="1701"/>
      </w:tabs>
      <w:spacing w:before="120"/>
      <w:ind w:left="1701"/>
    </w:pPr>
    <w:rPr>
      <w:rFonts w:cs="Arial"/>
      <w:kern w:val="0"/>
      <w:lang w:eastAsia="fr-FR"/>
    </w:rPr>
  </w:style>
  <w:style w:type="paragraph" w:styleId="12">
    <w:name w:val="toc 5"/>
    <w:basedOn w:val="1"/>
    <w:next w:val="1"/>
    <w:qFormat/>
    <w:uiPriority w:val="0"/>
    <w:pPr>
      <w:ind w:left="960"/>
      <w:jc w:val="left"/>
    </w:pPr>
    <w:rPr>
      <w:rFonts w:ascii="Times New Roman" w:hAnsi="Times New Roman"/>
    </w:rPr>
  </w:style>
  <w:style w:type="paragraph" w:styleId="13">
    <w:name w:val="toc 3"/>
    <w:basedOn w:val="1"/>
    <w:next w:val="1"/>
    <w:qFormat/>
    <w:uiPriority w:val="0"/>
    <w:pPr>
      <w:tabs>
        <w:tab w:val="left" w:pos="1440"/>
        <w:tab w:val="right" w:leader="middleDot" w:pos="8777"/>
      </w:tabs>
      <w:ind w:left="960"/>
      <w:jc w:val="left"/>
    </w:pPr>
    <w:rPr>
      <w:bCs/>
    </w:rPr>
  </w:style>
  <w:style w:type="paragraph" w:styleId="14">
    <w:name w:val="Plain Text"/>
    <w:basedOn w:val="1"/>
    <w:qFormat/>
    <w:uiPriority w:val="0"/>
    <w:rPr>
      <w:rFonts w:ascii="宋体" w:hAnsi="Courier New" w:cs="Courier New"/>
      <w:sz w:val="21"/>
      <w:szCs w:val="21"/>
    </w:rPr>
  </w:style>
  <w:style w:type="paragraph" w:styleId="15">
    <w:name w:val="toc 8"/>
    <w:basedOn w:val="1"/>
    <w:next w:val="1"/>
    <w:qFormat/>
    <w:uiPriority w:val="0"/>
    <w:pPr>
      <w:ind w:left="1680"/>
      <w:jc w:val="left"/>
    </w:pPr>
    <w:rPr>
      <w:rFonts w:ascii="Times New Roman" w:hAnsi="Times New Roman"/>
    </w:rPr>
  </w:style>
  <w:style w:type="paragraph" w:styleId="16">
    <w:name w:val="Date"/>
    <w:basedOn w:val="1"/>
    <w:next w:val="1"/>
    <w:qFormat/>
    <w:uiPriority w:val="0"/>
    <w:pPr>
      <w:ind w:left="100" w:leftChars="2500" w:firstLine="200" w:firstLineChars="200"/>
    </w:pPr>
    <w:rPr>
      <w:rFonts w:cs="Arial"/>
      <w:kern w:val="0"/>
      <w:sz w:val="30"/>
      <w:szCs w:val="30"/>
    </w:rPr>
  </w:style>
  <w:style w:type="paragraph" w:styleId="17">
    <w:name w:val="Body Text Indent 2"/>
    <w:basedOn w:val="1"/>
    <w:qFormat/>
    <w:uiPriority w:val="0"/>
    <w:pPr>
      <w:tabs>
        <w:tab w:val="left" w:pos="4612"/>
      </w:tabs>
      <w:ind w:firstLine="480" w:firstLineChars="200"/>
    </w:pPr>
  </w:style>
  <w:style w:type="paragraph" w:styleId="18">
    <w:name w:val="Balloon Text"/>
    <w:basedOn w:val="1"/>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left" w:pos="480"/>
        <w:tab w:val="right" w:leader="middleDot" w:pos="8777"/>
      </w:tabs>
      <w:jc w:val="center"/>
    </w:pPr>
    <w:rPr>
      <w:szCs w:val="32"/>
    </w:rPr>
  </w:style>
  <w:style w:type="paragraph" w:styleId="22">
    <w:name w:val="toc 4"/>
    <w:basedOn w:val="1"/>
    <w:next w:val="1"/>
    <w:qFormat/>
    <w:uiPriority w:val="0"/>
    <w:pPr>
      <w:ind w:left="720"/>
      <w:jc w:val="left"/>
    </w:pPr>
    <w:rPr>
      <w:rFonts w:ascii="Times New Roman" w:hAnsi="Times New Roman"/>
    </w:rPr>
  </w:style>
  <w:style w:type="paragraph" w:styleId="23">
    <w:name w:val="toc 6"/>
    <w:basedOn w:val="1"/>
    <w:next w:val="1"/>
    <w:qFormat/>
    <w:uiPriority w:val="0"/>
    <w:pPr>
      <w:ind w:left="1200"/>
      <w:jc w:val="left"/>
    </w:pPr>
    <w:rPr>
      <w:rFonts w:ascii="Times New Roman" w:hAnsi="Times New Roman"/>
    </w:rPr>
  </w:style>
  <w:style w:type="paragraph" w:styleId="24">
    <w:name w:val="Body Text Indent 3"/>
    <w:basedOn w:val="1"/>
    <w:qFormat/>
    <w:uiPriority w:val="0"/>
    <w:pPr>
      <w:tabs>
        <w:tab w:val="left" w:pos="76"/>
        <w:tab w:val="left" w:pos="8902"/>
        <w:tab w:val="left" w:pos="8976"/>
      </w:tabs>
      <w:ind w:firstLine="420" w:firstLineChars="200"/>
    </w:pPr>
    <w:rPr>
      <w:sz w:val="21"/>
    </w:rPr>
  </w:style>
  <w:style w:type="paragraph" w:styleId="25">
    <w:name w:val="toc 2"/>
    <w:basedOn w:val="1"/>
    <w:next w:val="1"/>
    <w:qFormat/>
    <w:uiPriority w:val="39"/>
    <w:pPr>
      <w:tabs>
        <w:tab w:val="left" w:pos="960"/>
        <w:tab w:val="right" w:leader="middleDot" w:pos="8777"/>
      </w:tabs>
      <w:ind w:left="480" w:leftChars="200"/>
      <w:jc w:val="left"/>
    </w:pPr>
  </w:style>
  <w:style w:type="paragraph" w:styleId="26">
    <w:name w:val="toc 9"/>
    <w:basedOn w:val="1"/>
    <w:next w:val="1"/>
    <w:qFormat/>
    <w:uiPriority w:val="0"/>
    <w:pPr>
      <w:ind w:left="1920"/>
      <w:jc w:val="left"/>
    </w:pPr>
    <w:rPr>
      <w:rFonts w:ascii="Times New Roman" w:hAnsi="Times New Roman"/>
    </w:rPr>
  </w:style>
  <w:style w:type="paragraph" w:styleId="27">
    <w:name w:val="Normal (Web)"/>
    <w:basedOn w:val="1"/>
    <w:qFormat/>
    <w:uiPriority w:val="99"/>
    <w:pPr>
      <w:widowControl/>
      <w:spacing w:before="100" w:beforeAutospacing="1" w:after="100" w:afterAutospacing="1"/>
      <w:jc w:val="left"/>
    </w:pPr>
    <w:rPr>
      <w:rFonts w:ascii="宋体" w:hAnsi="宋体"/>
      <w:kern w:val="0"/>
    </w:rPr>
  </w:style>
  <w:style w:type="paragraph" w:styleId="28">
    <w:name w:val="Title"/>
    <w:basedOn w:val="1"/>
    <w:qFormat/>
    <w:uiPriority w:val="0"/>
    <w:pPr>
      <w:spacing w:before="156" w:beforeLines="50" w:after="156" w:afterLines="50"/>
      <w:jc w:val="center"/>
      <w:outlineLvl w:val="0"/>
    </w:pPr>
    <w:rPr>
      <w:rFonts w:eastAsia="黑体" w:cs="Arial"/>
      <w:bCs/>
      <w:sz w:val="44"/>
      <w:szCs w:val="32"/>
    </w:rPr>
  </w:style>
  <w:style w:type="paragraph" w:styleId="29">
    <w:name w:val="annotation subject"/>
    <w:basedOn w:val="9"/>
    <w:next w:val="9"/>
    <w:qFormat/>
    <w:uiPriority w:val="0"/>
    <w:rPr>
      <w:b/>
      <w:bCs/>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qFormat/>
    <w:uiPriority w:val="0"/>
    <w:rPr>
      <w:rFonts w:ascii="Arial Narrow" w:hAnsi="Arial Narrow" w:eastAsia="宋体"/>
      <w:sz w:val="21"/>
    </w:rPr>
  </w:style>
  <w:style w:type="character" w:styleId="34">
    <w:name w:val="FollowedHyperlink"/>
    <w:qFormat/>
    <w:uiPriority w:val="0"/>
    <w:rPr>
      <w:color w:val="800080"/>
      <w:u w:val="single"/>
    </w:rPr>
  </w:style>
  <w:style w:type="character" w:styleId="35">
    <w:name w:val="Hyperlink"/>
    <w:qFormat/>
    <w:uiPriority w:val="99"/>
    <w:rPr>
      <w:color w:val="0000FF"/>
      <w:u w:val="single"/>
    </w:rPr>
  </w:style>
  <w:style w:type="character" w:styleId="36">
    <w:name w:val="annotation reference"/>
    <w:qFormat/>
    <w:uiPriority w:val="0"/>
    <w:rPr>
      <w:sz w:val="21"/>
      <w:szCs w:val="21"/>
    </w:rPr>
  </w:style>
  <w:style w:type="paragraph" w:customStyle="1" w:styleId="3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38">
    <w:name w:val="xl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cs="宋体"/>
      <w:color w:val="000000"/>
      <w:kern w:val="0"/>
    </w:rPr>
  </w:style>
  <w:style w:type="paragraph" w:customStyle="1" w:styleId="39">
    <w:name w:val=".."/>
    <w:basedOn w:val="1"/>
    <w:next w:val="1"/>
    <w:qFormat/>
    <w:uiPriority w:val="0"/>
    <w:pPr>
      <w:autoSpaceDE w:val="0"/>
      <w:autoSpaceDN w:val="0"/>
      <w:adjustRightInd w:val="0"/>
      <w:jc w:val="left"/>
    </w:pPr>
    <w:rPr>
      <w:rFonts w:ascii=".." w:hAnsi="Times New Roman" w:eastAsia=".."/>
      <w:kern w:val="0"/>
    </w:rPr>
  </w:style>
  <w:style w:type="paragraph" w:customStyle="1" w:styleId="40">
    <w:name w:val="xl16"/>
    <w:basedOn w:val="1"/>
    <w:qFormat/>
    <w:uiPriority w:val="0"/>
    <w:pPr>
      <w:widowControl/>
      <w:pBdr>
        <w:top w:val="single" w:color="auto" w:sz="4" w:space="0"/>
        <w:left w:val="single" w:color="auto" w:sz="4" w:space="0"/>
        <w:bottom w:val="single" w:color="auto" w:sz="4" w:space="0"/>
        <w:right w:val="single" w:color="auto" w:sz="4" w:space="0"/>
      </w:pBdr>
      <w:shd w:val="clear" w:color="auto" w:fill="ECE9D8"/>
      <w:spacing w:before="100" w:beforeAutospacing="1" w:after="100" w:afterAutospacing="1"/>
      <w:jc w:val="center"/>
      <w:textAlignment w:val="center"/>
    </w:pPr>
    <w:rPr>
      <w:rFonts w:cs="宋体"/>
      <w:color w:val="000000"/>
      <w:kern w:val="0"/>
    </w:rPr>
  </w:style>
  <w:style w:type="paragraph" w:customStyle="1" w:styleId="41">
    <w:name w:val="xl25"/>
    <w:basedOn w:val="1"/>
    <w:qFormat/>
    <w:uiPriority w:val="0"/>
    <w:pPr>
      <w:widowControl/>
      <w:spacing w:before="100" w:beforeAutospacing="1" w:after="100" w:afterAutospacing="1"/>
      <w:jc w:val="center"/>
      <w:textAlignment w:val="center"/>
    </w:pPr>
    <w:rPr>
      <w:rFonts w:eastAsia="Arial Unicode MS" w:cs="Arial Unicode MS"/>
      <w:kern w:val="0"/>
    </w:rPr>
  </w:style>
  <w:style w:type="paragraph" w:customStyle="1" w:styleId="42">
    <w:name w:val="Char"/>
    <w:basedOn w:val="1"/>
    <w:qFormat/>
    <w:uiPriority w:val="0"/>
    <w:rPr>
      <w:rFonts w:ascii="Times New Roman" w:hAnsi="Times New Roman"/>
      <w:sz w:val="21"/>
    </w:rPr>
  </w:style>
  <w:style w:type="paragraph" w:customStyle="1" w:styleId="43">
    <w:name w:val="xl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cs="宋体"/>
      <w:color w:val="000000"/>
      <w:kern w:val="0"/>
    </w:rPr>
  </w:style>
  <w:style w:type="paragraph" w:customStyle="1" w:styleId="44">
    <w:name w:val="font5"/>
    <w:basedOn w:val="1"/>
    <w:qFormat/>
    <w:uiPriority w:val="0"/>
    <w:pPr>
      <w:widowControl/>
      <w:spacing w:before="100" w:beforeAutospacing="1" w:after="100" w:afterAutospacing="1"/>
      <w:jc w:val="left"/>
    </w:pPr>
    <w:rPr>
      <w:rFonts w:ascii="MS Sans Serif" w:hAnsi="MS Sans Serif" w:eastAsia="Arial Unicode MS" w:cs="Arial Unicode MS"/>
      <w:color w:val="000000"/>
      <w:kern w:val="0"/>
      <w:sz w:val="16"/>
      <w:szCs w:val="16"/>
    </w:rPr>
  </w:style>
  <w:style w:type="paragraph" w:customStyle="1" w:styleId="4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
    <w:name w:val="text"/>
    <w:basedOn w:val="1"/>
    <w:qFormat/>
    <w:uiPriority w:val="0"/>
    <w:pPr>
      <w:widowControl/>
      <w:spacing w:before="100" w:beforeAutospacing="1" w:after="100" w:afterAutospacing="1"/>
      <w:jc w:val="left"/>
    </w:pPr>
    <w:rPr>
      <w:rFonts w:ascii="宋体" w:hAnsi="宋体" w:cs="宋体"/>
      <w:kern w:val="0"/>
    </w:rPr>
  </w:style>
  <w:style w:type="paragraph" w:customStyle="1" w:styleId="47">
    <w:name w:val="xl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cs="宋体"/>
      <w:color w:val="000000"/>
      <w:kern w:val="0"/>
    </w:rPr>
  </w:style>
  <w:style w:type="paragraph" w:customStyle="1" w:styleId="48">
    <w:name w:val="xl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cs="宋体"/>
      <w:color w:val="000000"/>
      <w:kern w:val="0"/>
    </w:rPr>
  </w:style>
  <w:style w:type="paragraph" w:customStyle="1" w:styleId="49">
    <w:name w:val="Char Char Char Char"/>
    <w:basedOn w:val="1"/>
    <w:qFormat/>
    <w:uiPriority w:val="0"/>
  </w:style>
  <w:style w:type="paragraph" w:customStyle="1" w:styleId="50">
    <w:name w:val="xl1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ECE9D8"/>
      <w:spacing w:before="100" w:beforeAutospacing="1" w:after="100" w:afterAutospacing="1"/>
      <w:jc w:val="center"/>
    </w:pPr>
    <w:rPr>
      <w:rFonts w:hint="eastAsia" w:ascii="宋体" w:hAnsi="宋体" w:cs="Arial Unicode MS"/>
      <w:color w:val="000000"/>
      <w:kern w:val="0"/>
      <w:sz w:val="16"/>
      <w:szCs w:val="16"/>
    </w:rPr>
  </w:style>
  <w:style w:type="paragraph" w:customStyle="1" w:styleId="51">
    <w:name w:val="font7"/>
    <w:basedOn w:val="1"/>
    <w:qFormat/>
    <w:uiPriority w:val="0"/>
    <w:pPr>
      <w:widowControl/>
      <w:spacing w:before="100" w:beforeAutospacing="1" w:after="100" w:afterAutospacing="1"/>
      <w:jc w:val="left"/>
    </w:pPr>
    <w:rPr>
      <w:rFonts w:cs="宋体"/>
      <w:kern w:val="0"/>
      <w:sz w:val="20"/>
      <w:szCs w:val="20"/>
    </w:rPr>
  </w:style>
  <w:style w:type="paragraph" w:customStyle="1" w:styleId="52">
    <w:name w:val="......"/>
    <w:basedOn w:val="1"/>
    <w:next w:val="1"/>
    <w:qFormat/>
    <w:uiPriority w:val="0"/>
    <w:pPr>
      <w:autoSpaceDE w:val="0"/>
      <w:autoSpaceDN w:val="0"/>
      <w:adjustRightInd w:val="0"/>
      <w:jc w:val="left"/>
    </w:pPr>
    <w:rPr>
      <w:rFonts w:ascii=".." w:hAnsi="Times New Roman" w:eastAsia=".."/>
      <w:kern w:val="0"/>
    </w:rPr>
  </w:style>
  <w:style w:type="paragraph" w:customStyle="1" w:styleId="53">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56">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57">
    <w:name w:val="xl20"/>
    <w:basedOn w:val="1"/>
    <w:qFormat/>
    <w:uiPriority w:val="0"/>
    <w:pPr>
      <w:widowControl/>
      <w:shd w:val="clear" w:color="auto" w:fill="ECE9D8"/>
      <w:spacing w:before="100" w:beforeAutospacing="1" w:after="100" w:afterAutospacing="1"/>
      <w:jc w:val="center"/>
    </w:pPr>
    <w:rPr>
      <w:rFonts w:hint="eastAsia" w:ascii="宋体" w:hAnsi="宋体" w:cs="Arial Unicode MS"/>
      <w:color w:val="000000"/>
      <w:kern w:val="0"/>
      <w:sz w:val="16"/>
      <w:szCs w:val="16"/>
    </w:rPr>
  </w:style>
  <w:style w:type="paragraph" w:customStyle="1" w:styleId="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59">
    <w:name w:val="xl19"/>
    <w:basedOn w:val="1"/>
    <w:qFormat/>
    <w:uiPriority w:val="0"/>
    <w:pPr>
      <w:widowControl/>
      <w:shd w:val="clear" w:color="auto" w:fill="ECE9D8"/>
      <w:spacing w:before="100" w:beforeAutospacing="1" w:after="100" w:afterAutospacing="1"/>
      <w:jc w:val="center"/>
    </w:pPr>
    <w:rPr>
      <w:rFonts w:ascii="MS Sans Serif" w:hAnsi="MS Sans Serif" w:eastAsia="Arial Unicode MS" w:cs="Arial Unicode MS"/>
      <w:color w:val="000000"/>
      <w:kern w:val="0"/>
      <w:sz w:val="16"/>
      <w:szCs w:val="16"/>
    </w:rPr>
  </w:style>
  <w:style w:type="paragraph" w:customStyle="1" w:styleId="60">
    <w:name w:val="TxBr_t1"/>
    <w:basedOn w:val="1"/>
    <w:qFormat/>
    <w:uiPriority w:val="0"/>
    <w:pPr>
      <w:spacing w:line="515" w:lineRule="atLeast"/>
      <w:jc w:val="left"/>
    </w:pPr>
    <w:rPr>
      <w:rFonts w:ascii="Times New Roman" w:hAnsi="Times New Roman"/>
      <w:snapToGrid w:val="0"/>
      <w:kern w:val="0"/>
      <w:szCs w:val="20"/>
      <w:lang w:val="en-GB" w:eastAsia="en-US"/>
    </w:rPr>
  </w:style>
  <w:style w:type="character" w:customStyle="1" w:styleId="61">
    <w:name w:val="标题 2 字符"/>
    <w:link w:val="3"/>
    <w:qFormat/>
    <w:uiPriority w:val="0"/>
    <w:rPr>
      <w:rFonts w:ascii="Arial Narrow" w:hAnsi="Arial Narrow" w:eastAsia="黑体"/>
      <w:bCs/>
      <w:kern w:val="2"/>
      <w:sz w:val="24"/>
      <w:szCs w:val="32"/>
    </w:rPr>
  </w:style>
  <w:style w:type="paragraph" w:customStyle="1" w:styleId="62">
    <w:name w:val="Char Char"/>
    <w:basedOn w:val="1"/>
    <w:qFormat/>
    <w:uiPriority w:val="0"/>
    <w:rPr>
      <w:rFonts w:ascii="Times New Roman" w:hAnsi="Times New Roman"/>
      <w:sz w:val="21"/>
      <w:szCs w:val="21"/>
    </w:rPr>
  </w:style>
  <w:style w:type="paragraph" w:customStyle="1" w:styleId="63">
    <w:name w:val="Char Char Char Char1"/>
    <w:basedOn w:val="1"/>
    <w:qFormat/>
    <w:uiPriority w:val="0"/>
    <w:rPr>
      <w:rFonts w:ascii="Times New Roman" w:hAnsi="Times New Roman"/>
      <w:sz w:val="21"/>
      <w:szCs w:val="21"/>
    </w:rPr>
  </w:style>
  <w:style w:type="paragraph" w:styleId="64">
    <w:name w:val="List Paragraph"/>
    <w:basedOn w:val="1"/>
    <w:qFormat/>
    <w:uiPriority w:val="34"/>
    <w:pPr>
      <w:widowControl/>
      <w:ind w:firstLine="420" w:firstLineChars="200"/>
      <w:jc w:val="left"/>
    </w:pPr>
    <w:rPr>
      <w:rFonts w:ascii="宋体" w:hAnsi="宋体" w:cs="宋体"/>
      <w:kern w:val="0"/>
    </w:rPr>
  </w:style>
  <w:style w:type="character" w:customStyle="1" w:styleId="65">
    <w:name w:val="apple-converted-space"/>
    <w:qFormat/>
    <w:uiPriority w:val="0"/>
  </w:style>
  <w:style w:type="character" w:customStyle="1" w:styleId="66">
    <w:name w:val="正文文本 字符"/>
    <w:link w:val="10"/>
    <w:qFormat/>
    <w:locked/>
    <w:uiPriority w:val="0"/>
    <w:rPr>
      <w:rFonts w:ascii="Arial Narrow" w:hAnsi="Arial Narrow" w:cs="Arial"/>
      <w:kern w:val="24"/>
      <w:sz w:val="24"/>
      <w:szCs w:val="24"/>
      <w:lang w:eastAsia="fr-FR"/>
    </w:rPr>
  </w:style>
  <w:style w:type="character" w:customStyle="1" w:styleId="67">
    <w:name w:val="font11"/>
    <w:basedOn w:val="3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14</Pages>
  <Words>2204</Words>
  <Characters>2625</Characters>
  <Lines>311</Lines>
  <Paragraphs>362</Paragraphs>
  <TotalTime>9</TotalTime>
  <ScaleCrop>false</ScaleCrop>
  <LinksUpToDate>false</LinksUpToDate>
  <CharactersWithSpaces>2720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2024-12-15T10:05:00Z</dcterms:created>
  <dc:creator>微软用户</dc:creator>
  <cp:lastModifiedBy>再来</cp:lastModifiedBy>
  <cp:lastPrinted>2024-03-25T03:26:00Z</cp:lastPrinted>
  <dcterms:modified xsi:type="dcterms:W3CDTF">2026-07-20T02:36:45Z</dcterms:modified>
  <dc:title>                                                 </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D521875EC5554124B9D9B95F706FD415_13</vt:lpwstr>
  </property>
  <property fmtid="{D5CDD505-2E9C-101B-9397-08002B2CF9AE}" pid="4" name="KSOTemplateDocerSaveRecord">
    <vt:lpwstr>eyJoZGlkIjoiZGQ5OTliYmYxNDQ4YTQxOWJmZDQ2ZGRmNDA4MTEwNWMiLCJ1c2VySWQiOiIyNDE0Nzk4MjQifQ==</vt:lpwstr>
  </property>
</Properties>
</file>