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5ADF45">
      <w:pPr>
        <w:jc w:val="right"/>
        <w:rPr>
          <w:rFonts w:hint="eastAsia" w:eastAsia="宋体"/>
          <w:lang w:val="en-US" w:eastAsia="zh-CN"/>
        </w:rPr>
      </w:pPr>
      <w:r>
        <w:rPr>
          <w:rFonts w:hint="eastAsia"/>
          <w:b/>
          <w:sz w:val="28"/>
          <w:szCs w:val="28"/>
        </w:rPr>
        <w:t>报告编号：202</w:t>
      </w:r>
      <w:r>
        <w:rPr>
          <w:rFonts w:hint="eastAsia"/>
          <w:b/>
          <w:sz w:val="28"/>
          <w:szCs w:val="28"/>
          <w:lang w:val="en-US" w:eastAsia="zh-CN"/>
        </w:rPr>
        <w:t>6</w:t>
      </w:r>
      <w:r>
        <w:rPr>
          <w:rFonts w:hint="eastAsia"/>
          <w:b/>
          <w:sz w:val="28"/>
          <w:szCs w:val="28"/>
        </w:rPr>
        <w:t>-GJTJ-</w:t>
      </w:r>
      <w:r>
        <w:rPr>
          <w:rFonts w:hint="eastAsia"/>
          <w:b/>
          <w:sz w:val="28"/>
          <w:szCs w:val="28"/>
          <w:lang w:val="en-US" w:eastAsia="zh-CN"/>
        </w:rPr>
        <w:t>DQLH</w:t>
      </w:r>
      <w:r>
        <w:rPr>
          <w:rFonts w:hint="eastAsia"/>
          <w:b/>
          <w:sz w:val="28"/>
          <w:szCs w:val="28"/>
        </w:rPr>
        <w:t>-RBI-0</w:t>
      </w:r>
      <w:r>
        <w:rPr>
          <w:rFonts w:hint="eastAsia"/>
          <w:b/>
          <w:sz w:val="28"/>
          <w:szCs w:val="28"/>
          <w:lang w:val="en-US" w:eastAsia="zh-CN"/>
        </w:rPr>
        <w:t>1</w:t>
      </w:r>
    </w:p>
    <w:p w14:paraId="26343435">
      <w:pPr>
        <w:rPr>
          <w:color w:val="000000"/>
        </w:rPr>
      </w:pPr>
    </w:p>
    <w:p w14:paraId="3BC39C70">
      <w:pPr>
        <w:rPr>
          <w:color w:val="000000"/>
        </w:rPr>
      </w:pPr>
    </w:p>
    <w:p w14:paraId="5A553D97">
      <w:pPr>
        <w:jc w:val="center"/>
        <w:rPr>
          <w:rFonts w:eastAsia="黑体"/>
          <w:bCs/>
          <w:sz w:val="36"/>
          <w:szCs w:val="36"/>
        </w:rPr>
      </w:pPr>
      <w:r>
        <w:rPr>
          <w:rFonts w:hint="eastAsia" w:eastAsia="黑体"/>
          <w:bCs/>
          <w:sz w:val="36"/>
          <w:szCs w:val="36"/>
          <w:lang w:val="en-US" w:eastAsia="zh-CN"/>
        </w:rPr>
        <w:t>中国石油天然气股份有限公司大庆炼化分公司</w:t>
      </w:r>
    </w:p>
    <w:p w14:paraId="1328BFF2">
      <w:pPr>
        <w:jc w:val="center"/>
        <w:rPr>
          <w:rFonts w:eastAsia="黑体"/>
          <w:color w:val="000000"/>
          <w:sz w:val="48"/>
          <w:szCs w:val="44"/>
        </w:rPr>
      </w:pPr>
      <w:r>
        <w:rPr>
          <w:rFonts w:hint="eastAsia" w:eastAsia="黑体"/>
          <w:color w:val="000000"/>
          <w:sz w:val="48"/>
          <w:szCs w:val="44"/>
          <w:lang w:val="en-US" w:eastAsia="zh-CN"/>
        </w:rPr>
        <w:t>部分</w:t>
      </w:r>
      <w:r>
        <w:rPr>
          <w:rFonts w:hint="eastAsia" w:eastAsia="黑体"/>
          <w:color w:val="000000"/>
          <w:sz w:val="48"/>
          <w:szCs w:val="44"/>
        </w:rPr>
        <w:t>安全阀</w:t>
      </w:r>
    </w:p>
    <w:p w14:paraId="1D586495">
      <w:pPr>
        <w:jc w:val="center"/>
        <w:rPr>
          <w:rFonts w:eastAsia="黑体"/>
          <w:bCs/>
          <w:color w:val="000000"/>
          <w:sz w:val="52"/>
          <w:szCs w:val="44"/>
        </w:rPr>
      </w:pPr>
      <w:r>
        <w:rPr>
          <w:rFonts w:hint="eastAsia" w:eastAsia="黑体"/>
          <w:bCs/>
          <w:color w:val="000000"/>
          <w:sz w:val="52"/>
          <w:szCs w:val="44"/>
        </w:rPr>
        <w:t>基于风险的检验</w:t>
      </w:r>
      <w:r>
        <w:rPr>
          <w:rFonts w:eastAsia="黑体"/>
          <w:bCs/>
          <w:color w:val="000000"/>
          <w:sz w:val="52"/>
          <w:szCs w:val="44"/>
        </w:rPr>
        <w:t>(RBI)</w:t>
      </w:r>
      <w:r>
        <w:rPr>
          <w:rFonts w:hint="eastAsia" w:eastAsia="黑体"/>
          <w:bCs/>
          <w:color w:val="000000"/>
          <w:sz w:val="52"/>
          <w:szCs w:val="44"/>
        </w:rPr>
        <w:t>评估</w:t>
      </w:r>
      <w:r>
        <w:rPr>
          <w:rFonts w:eastAsia="黑体"/>
          <w:bCs/>
          <w:color w:val="000000"/>
          <w:sz w:val="52"/>
          <w:szCs w:val="44"/>
        </w:rPr>
        <w:t>报告</w:t>
      </w:r>
    </w:p>
    <w:p w14:paraId="54FEF1DA">
      <w:pPr>
        <w:jc w:val="center"/>
        <w:rPr>
          <w:rFonts w:eastAsia="黑体"/>
          <w:bCs/>
          <w:color w:val="000000"/>
          <w:sz w:val="52"/>
        </w:rPr>
      </w:pPr>
    </w:p>
    <w:p w14:paraId="5EA9C449">
      <w:pPr>
        <w:jc w:val="center"/>
        <w:rPr>
          <w:rFonts w:eastAsia="黑体"/>
          <w:bCs/>
          <w:color w:val="000000"/>
          <w:sz w:val="52"/>
        </w:rPr>
      </w:pPr>
    </w:p>
    <w:p w14:paraId="19F3BAB4">
      <w:pPr>
        <w:rPr>
          <w:rFonts w:hint="eastAsia" w:ascii="楷体_GB2312" w:hAnsi="宋体" w:eastAsia="楷体_GB2312"/>
          <w:bCs/>
          <w:color w:val="000000"/>
          <w:sz w:val="28"/>
          <w:szCs w:val="28"/>
        </w:rPr>
      </w:pPr>
    </w:p>
    <w:p w14:paraId="278E0071">
      <w:pPr>
        <w:rPr>
          <w:rFonts w:hint="eastAsia" w:ascii="楷体_GB2312" w:hAnsi="宋体" w:eastAsia="楷体_GB2312"/>
          <w:bCs/>
          <w:color w:val="000000"/>
          <w:sz w:val="28"/>
          <w:szCs w:val="28"/>
        </w:rPr>
      </w:pPr>
      <w:r>
        <w:rPr>
          <w:rFonts w:hint="eastAsia" w:ascii="楷体_GB2312" w:hAnsi="宋体" w:eastAsia="楷体_GB2312"/>
          <w:bCs/>
          <w:color w:val="000000"/>
          <w:sz w:val="28"/>
          <w:szCs w:val="28"/>
        </w:rPr>
        <w:t xml:space="preserve"> </w:t>
      </w:r>
    </w:p>
    <w:p w14:paraId="68E1F610">
      <w:pPr>
        <w:snapToGrid w:val="0"/>
        <w:jc w:val="center"/>
        <w:rPr>
          <w:rFonts w:eastAsia="黑体"/>
          <w:bCs/>
          <w:color w:val="000000"/>
          <w:sz w:val="52"/>
        </w:rPr>
      </w:pPr>
    </w:p>
    <w:p w14:paraId="38BAF407">
      <w:pPr>
        <w:snapToGrid w:val="0"/>
        <w:jc w:val="center"/>
        <w:rPr>
          <w:rFonts w:eastAsia="黑体"/>
          <w:bCs/>
          <w:color w:val="000000"/>
          <w:sz w:val="52"/>
        </w:rPr>
      </w:pPr>
    </w:p>
    <w:p w14:paraId="2BF4329C">
      <w:pPr>
        <w:snapToGrid w:val="0"/>
        <w:jc w:val="center"/>
        <w:rPr>
          <w:rFonts w:eastAsia="黑体"/>
          <w:bCs/>
          <w:color w:val="000000"/>
          <w:sz w:val="52"/>
        </w:rPr>
      </w:pPr>
    </w:p>
    <w:p w14:paraId="3B11447D">
      <w:pPr>
        <w:snapToGrid w:val="0"/>
        <w:jc w:val="center"/>
        <w:rPr>
          <w:rFonts w:eastAsia="黑体"/>
          <w:bCs/>
          <w:color w:val="000000"/>
          <w:sz w:val="52"/>
        </w:rPr>
      </w:pPr>
    </w:p>
    <w:p w14:paraId="0173734A">
      <w:pPr>
        <w:snapToGrid w:val="0"/>
        <w:jc w:val="center"/>
        <w:rPr>
          <w:rFonts w:eastAsia="黑体"/>
          <w:bCs/>
          <w:color w:val="000000"/>
          <w:sz w:val="52"/>
        </w:rPr>
      </w:pPr>
    </w:p>
    <w:p w14:paraId="64AB2B4A">
      <w:pPr>
        <w:snapToGrid w:val="0"/>
        <w:jc w:val="center"/>
        <w:rPr>
          <w:rFonts w:eastAsia="黑体"/>
          <w:bCs/>
          <w:color w:val="000000"/>
          <w:sz w:val="52"/>
        </w:rPr>
      </w:pPr>
    </w:p>
    <w:p w14:paraId="07845B83">
      <w:pPr>
        <w:snapToGrid w:val="0"/>
        <w:jc w:val="center"/>
        <w:rPr>
          <w:rFonts w:eastAsia="黑体"/>
          <w:bCs/>
          <w:color w:val="000000"/>
          <w:sz w:val="52"/>
        </w:rPr>
      </w:pPr>
    </w:p>
    <w:p w14:paraId="75FE7828">
      <w:pPr>
        <w:jc w:val="center"/>
        <w:rPr>
          <w:rFonts w:eastAsia="楷体_GB2312"/>
          <w:bCs/>
          <w:color w:val="000000"/>
          <w:sz w:val="30"/>
          <w:szCs w:val="30"/>
        </w:rPr>
      </w:pPr>
      <w:r>
        <w:rPr>
          <w:rFonts w:hint="eastAsia" w:eastAsia="楷体_GB2312"/>
          <w:bCs/>
          <w:color w:val="000000"/>
          <w:sz w:val="30"/>
          <w:szCs w:val="30"/>
        </w:rPr>
        <w:t>国机特种设备检验有限公司</w:t>
      </w:r>
    </w:p>
    <w:p w14:paraId="3E5492B0">
      <w:pPr>
        <w:jc w:val="center"/>
        <w:rPr>
          <w:rFonts w:eastAsia="楷体_GB2312"/>
          <w:bCs/>
          <w:color w:val="000000"/>
          <w:sz w:val="30"/>
          <w:szCs w:val="30"/>
        </w:rPr>
      </w:pPr>
    </w:p>
    <w:p w14:paraId="064A14EC">
      <w:pPr>
        <w:jc w:val="center"/>
        <w:rPr>
          <w:rFonts w:eastAsia="楷体_GB2312"/>
          <w:bCs/>
          <w:color w:val="000000"/>
          <w:sz w:val="30"/>
          <w:szCs w:val="30"/>
        </w:rPr>
        <w:sectPr>
          <w:headerReference r:id="rId3" w:type="default"/>
          <w:footerReference r:id="rId4" w:type="even"/>
          <w:pgSz w:w="11906" w:h="16838"/>
          <w:pgMar w:top="1418" w:right="1418" w:bottom="1418" w:left="1701" w:header="1134" w:footer="1134" w:gutter="0"/>
          <w:cols w:space="720" w:num="1"/>
          <w:titlePg/>
          <w:docGrid w:type="lines" w:linePitch="460" w:charSpace="0"/>
        </w:sectPr>
      </w:pPr>
    </w:p>
    <w:p w14:paraId="18F43C43">
      <w:pPr>
        <w:jc w:val="right"/>
        <w:rPr>
          <w:rFonts w:hint="default" w:eastAsia="宋体"/>
          <w:lang w:val="en-US" w:eastAsia="zh-CN"/>
        </w:rPr>
      </w:pPr>
      <w:bookmarkStart w:id="0" w:name="_Toc98261271"/>
      <w:r>
        <w:rPr>
          <w:rFonts w:hint="eastAsia"/>
          <w:b/>
          <w:sz w:val="28"/>
          <w:szCs w:val="28"/>
        </w:rPr>
        <w:t>报告编号：202</w:t>
      </w:r>
      <w:r>
        <w:rPr>
          <w:rFonts w:hint="eastAsia"/>
          <w:b/>
          <w:sz w:val="28"/>
          <w:szCs w:val="28"/>
          <w:lang w:val="en-US" w:eastAsia="zh-CN"/>
        </w:rPr>
        <w:t>6</w:t>
      </w:r>
      <w:r>
        <w:rPr>
          <w:rFonts w:hint="eastAsia"/>
          <w:b/>
          <w:sz w:val="28"/>
          <w:szCs w:val="28"/>
        </w:rPr>
        <w:t>-GJTJ-</w:t>
      </w:r>
      <w:r>
        <w:rPr>
          <w:rFonts w:hint="eastAsia"/>
          <w:b/>
          <w:sz w:val="28"/>
          <w:szCs w:val="28"/>
          <w:lang w:val="en-US" w:eastAsia="zh-CN"/>
        </w:rPr>
        <w:t>DQLH</w:t>
      </w:r>
      <w:r>
        <w:rPr>
          <w:rFonts w:hint="eastAsia"/>
          <w:b/>
          <w:sz w:val="28"/>
          <w:szCs w:val="28"/>
        </w:rPr>
        <w:t>-RBI-</w:t>
      </w:r>
      <w:r>
        <w:rPr>
          <w:rFonts w:hint="eastAsia"/>
          <w:b/>
          <w:sz w:val="28"/>
          <w:szCs w:val="28"/>
          <w:lang w:val="en-US" w:eastAsia="zh-CN"/>
        </w:rPr>
        <w:t>01</w:t>
      </w:r>
    </w:p>
    <w:p w14:paraId="6CB88C36">
      <w:pPr>
        <w:jc w:val="right"/>
        <w:rPr>
          <w:b/>
          <w:color w:val="000000"/>
          <w:sz w:val="28"/>
          <w:szCs w:val="28"/>
        </w:rPr>
      </w:pPr>
    </w:p>
    <w:p w14:paraId="7EE7E475">
      <w:pPr>
        <w:rPr>
          <w:color w:val="000000"/>
        </w:rPr>
      </w:pPr>
    </w:p>
    <w:p w14:paraId="28731C79">
      <w:pPr>
        <w:jc w:val="center"/>
        <w:rPr>
          <w:rFonts w:eastAsia="黑体"/>
          <w:bCs/>
          <w:sz w:val="36"/>
          <w:szCs w:val="36"/>
        </w:rPr>
      </w:pPr>
      <w:r>
        <w:rPr>
          <w:rFonts w:hint="eastAsia" w:eastAsia="黑体"/>
          <w:bCs/>
          <w:sz w:val="36"/>
          <w:szCs w:val="36"/>
          <w:lang w:val="en-US" w:eastAsia="zh-CN"/>
        </w:rPr>
        <w:t>中国石油天然气股份有限公司大庆炼化分公司</w:t>
      </w:r>
    </w:p>
    <w:p w14:paraId="348EC70F">
      <w:pPr>
        <w:jc w:val="center"/>
        <w:rPr>
          <w:rFonts w:eastAsia="黑体"/>
          <w:color w:val="000000"/>
          <w:sz w:val="48"/>
          <w:szCs w:val="44"/>
        </w:rPr>
      </w:pPr>
      <w:r>
        <w:rPr>
          <w:rFonts w:hint="eastAsia" w:eastAsia="黑体"/>
          <w:color w:val="000000"/>
          <w:sz w:val="48"/>
          <w:szCs w:val="44"/>
          <w:lang w:val="en-US" w:eastAsia="zh-CN"/>
        </w:rPr>
        <w:t>部分</w:t>
      </w:r>
      <w:r>
        <w:rPr>
          <w:rFonts w:hint="eastAsia" w:eastAsia="黑体"/>
          <w:color w:val="000000"/>
          <w:sz w:val="48"/>
          <w:szCs w:val="44"/>
        </w:rPr>
        <w:t>安全阀</w:t>
      </w:r>
    </w:p>
    <w:p w14:paraId="0DBA88CA">
      <w:pPr>
        <w:jc w:val="center"/>
        <w:rPr>
          <w:rFonts w:eastAsia="黑体"/>
          <w:bCs/>
          <w:color w:val="000000"/>
          <w:sz w:val="52"/>
          <w:szCs w:val="44"/>
        </w:rPr>
      </w:pPr>
      <w:r>
        <w:rPr>
          <w:rFonts w:hint="eastAsia" w:eastAsia="黑体"/>
          <w:bCs/>
          <w:color w:val="000000"/>
          <w:sz w:val="52"/>
          <w:szCs w:val="44"/>
        </w:rPr>
        <w:t>基于风险的检验</w:t>
      </w:r>
      <w:r>
        <w:rPr>
          <w:rFonts w:eastAsia="黑体"/>
          <w:bCs/>
          <w:color w:val="000000"/>
          <w:sz w:val="52"/>
          <w:szCs w:val="44"/>
        </w:rPr>
        <w:t>(RBI)</w:t>
      </w:r>
      <w:r>
        <w:rPr>
          <w:rFonts w:hint="eastAsia" w:eastAsia="黑体"/>
          <w:bCs/>
          <w:color w:val="000000"/>
          <w:sz w:val="52"/>
          <w:szCs w:val="44"/>
        </w:rPr>
        <w:t>评估</w:t>
      </w:r>
      <w:r>
        <w:rPr>
          <w:rFonts w:eastAsia="黑体"/>
          <w:bCs/>
          <w:color w:val="000000"/>
          <w:sz w:val="52"/>
          <w:szCs w:val="44"/>
        </w:rPr>
        <w:t>报告</w:t>
      </w:r>
    </w:p>
    <w:p w14:paraId="481E6EF2">
      <w:pPr>
        <w:jc w:val="center"/>
        <w:rPr>
          <w:rFonts w:eastAsia="黑体"/>
          <w:bCs/>
          <w:color w:val="000000"/>
          <w:sz w:val="52"/>
        </w:rPr>
      </w:pPr>
    </w:p>
    <w:p w14:paraId="52931148">
      <w:pPr>
        <w:jc w:val="center"/>
        <w:rPr>
          <w:rFonts w:eastAsia="黑体"/>
          <w:bCs/>
          <w:color w:val="000000"/>
          <w:sz w:val="52"/>
        </w:rPr>
      </w:pPr>
    </w:p>
    <w:p w14:paraId="6F0AC90D">
      <w:pPr>
        <w:rPr>
          <w:rFonts w:hint="eastAsia" w:ascii="楷体_GB2312" w:hAnsi="宋体" w:eastAsia="楷体_GB2312"/>
          <w:bCs/>
          <w:color w:val="000000"/>
          <w:sz w:val="28"/>
          <w:szCs w:val="28"/>
        </w:rPr>
      </w:pPr>
    </w:p>
    <w:p w14:paraId="0BCFE605">
      <w:pPr>
        <w:rPr>
          <w:rFonts w:hint="eastAsia" w:ascii="楷体_GB2312" w:hAnsi="宋体" w:eastAsia="楷体_GB2312"/>
          <w:bCs/>
          <w:color w:val="000000"/>
          <w:sz w:val="28"/>
          <w:szCs w:val="28"/>
        </w:rPr>
      </w:pPr>
      <w:r>
        <w:rPr>
          <w:rFonts w:hint="eastAsia" w:ascii="楷体_GB2312" w:hAnsi="宋体" w:eastAsia="楷体_GB2312"/>
          <w:bCs/>
          <w:color w:val="000000"/>
          <w:sz w:val="28"/>
          <w:szCs w:val="28"/>
        </w:rPr>
        <w:t xml:space="preserve"> </w:t>
      </w:r>
    </w:p>
    <w:tbl>
      <w:tblPr>
        <w:tblStyle w:val="30"/>
        <w:tblW w:w="0" w:type="auto"/>
        <w:jc w:val="center"/>
        <w:tblLayout w:type="fixed"/>
        <w:tblCellMar>
          <w:top w:w="0" w:type="dxa"/>
          <w:left w:w="108" w:type="dxa"/>
          <w:bottom w:w="0" w:type="dxa"/>
          <w:right w:w="108" w:type="dxa"/>
        </w:tblCellMar>
      </w:tblPr>
      <w:tblGrid>
        <w:gridCol w:w="1215"/>
        <w:gridCol w:w="3823"/>
      </w:tblGrid>
      <w:tr w14:paraId="6B065AC4">
        <w:tblPrEx>
          <w:tblCellMar>
            <w:top w:w="0" w:type="dxa"/>
            <w:left w:w="108" w:type="dxa"/>
            <w:bottom w:w="0" w:type="dxa"/>
            <w:right w:w="108" w:type="dxa"/>
          </w:tblCellMar>
        </w:tblPrEx>
        <w:trPr>
          <w:trHeight w:val="869" w:hRule="atLeast"/>
          <w:jc w:val="center"/>
        </w:trPr>
        <w:tc>
          <w:tcPr>
            <w:tcW w:w="1215" w:type="dxa"/>
            <w:vAlign w:val="bottom"/>
          </w:tcPr>
          <w:p w14:paraId="41B80FAE">
            <w:pPr>
              <w:jc w:val="center"/>
              <w:rPr>
                <w:bCs/>
                <w:color w:val="000000"/>
                <w:sz w:val="32"/>
              </w:rPr>
            </w:pPr>
            <w:r>
              <w:rPr>
                <w:bCs/>
                <w:color w:val="000000"/>
                <w:sz w:val="32"/>
              </w:rPr>
              <w:t>编制：</w:t>
            </w:r>
          </w:p>
        </w:tc>
        <w:tc>
          <w:tcPr>
            <w:tcW w:w="3823" w:type="dxa"/>
            <w:tcBorders>
              <w:bottom w:val="single" w:color="auto" w:sz="4" w:space="0"/>
            </w:tcBorders>
            <w:vAlign w:val="bottom"/>
          </w:tcPr>
          <w:p w14:paraId="4D3E5316">
            <w:pPr>
              <w:jc w:val="center"/>
              <w:rPr>
                <w:rFonts w:eastAsia="楷体_GB2312"/>
                <w:bCs/>
                <w:color w:val="000000"/>
                <w:sz w:val="32"/>
                <w:szCs w:val="30"/>
              </w:rPr>
            </w:pPr>
          </w:p>
        </w:tc>
      </w:tr>
      <w:tr w14:paraId="0E54698E">
        <w:tblPrEx>
          <w:tblCellMar>
            <w:top w:w="0" w:type="dxa"/>
            <w:left w:w="108" w:type="dxa"/>
            <w:bottom w:w="0" w:type="dxa"/>
            <w:right w:w="108" w:type="dxa"/>
          </w:tblCellMar>
        </w:tblPrEx>
        <w:trPr>
          <w:trHeight w:val="869" w:hRule="atLeast"/>
          <w:jc w:val="center"/>
        </w:trPr>
        <w:tc>
          <w:tcPr>
            <w:tcW w:w="1215" w:type="dxa"/>
            <w:vAlign w:val="bottom"/>
          </w:tcPr>
          <w:p w14:paraId="6DD500FE">
            <w:pPr>
              <w:jc w:val="center"/>
              <w:rPr>
                <w:bCs/>
                <w:color w:val="000000"/>
                <w:sz w:val="32"/>
              </w:rPr>
            </w:pPr>
            <w:r>
              <w:rPr>
                <w:rFonts w:hint="eastAsia"/>
                <w:bCs/>
                <w:color w:val="000000"/>
                <w:sz w:val="32"/>
              </w:rPr>
              <w:t>校对：</w:t>
            </w:r>
          </w:p>
        </w:tc>
        <w:tc>
          <w:tcPr>
            <w:tcW w:w="3823" w:type="dxa"/>
            <w:tcBorders>
              <w:bottom w:val="single" w:color="auto" w:sz="4" w:space="0"/>
            </w:tcBorders>
            <w:vAlign w:val="bottom"/>
          </w:tcPr>
          <w:p w14:paraId="1F9410C7">
            <w:pPr>
              <w:jc w:val="center"/>
              <w:rPr>
                <w:rFonts w:eastAsia="楷体_GB2312"/>
                <w:bCs/>
                <w:color w:val="000000"/>
                <w:sz w:val="32"/>
                <w:szCs w:val="30"/>
              </w:rPr>
            </w:pPr>
          </w:p>
        </w:tc>
      </w:tr>
      <w:tr w14:paraId="54E685FA">
        <w:tblPrEx>
          <w:tblCellMar>
            <w:top w:w="0" w:type="dxa"/>
            <w:left w:w="108" w:type="dxa"/>
            <w:bottom w:w="0" w:type="dxa"/>
            <w:right w:w="108" w:type="dxa"/>
          </w:tblCellMar>
        </w:tblPrEx>
        <w:trPr>
          <w:trHeight w:val="869" w:hRule="atLeast"/>
          <w:jc w:val="center"/>
        </w:trPr>
        <w:tc>
          <w:tcPr>
            <w:tcW w:w="1215" w:type="dxa"/>
            <w:vAlign w:val="bottom"/>
          </w:tcPr>
          <w:p w14:paraId="57621618">
            <w:pPr>
              <w:jc w:val="center"/>
              <w:rPr>
                <w:bCs/>
                <w:color w:val="000000"/>
                <w:sz w:val="32"/>
              </w:rPr>
            </w:pPr>
            <w:r>
              <w:rPr>
                <w:bCs/>
                <w:color w:val="000000"/>
                <w:sz w:val="32"/>
              </w:rPr>
              <w:t>审核：</w:t>
            </w:r>
          </w:p>
        </w:tc>
        <w:tc>
          <w:tcPr>
            <w:tcW w:w="3823" w:type="dxa"/>
            <w:tcBorders>
              <w:top w:val="single" w:color="auto" w:sz="4" w:space="0"/>
              <w:bottom w:val="single" w:color="auto" w:sz="4" w:space="0"/>
            </w:tcBorders>
            <w:vAlign w:val="bottom"/>
          </w:tcPr>
          <w:p w14:paraId="68F688AF">
            <w:pPr>
              <w:jc w:val="center"/>
              <w:rPr>
                <w:rFonts w:eastAsia="楷体_GB2312"/>
                <w:bCs/>
                <w:color w:val="000000"/>
                <w:sz w:val="32"/>
                <w:szCs w:val="30"/>
              </w:rPr>
            </w:pPr>
          </w:p>
        </w:tc>
      </w:tr>
      <w:tr w14:paraId="107EA144">
        <w:tblPrEx>
          <w:tblCellMar>
            <w:top w:w="0" w:type="dxa"/>
            <w:left w:w="108" w:type="dxa"/>
            <w:bottom w:w="0" w:type="dxa"/>
            <w:right w:w="108" w:type="dxa"/>
          </w:tblCellMar>
        </w:tblPrEx>
        <w:trPr>
          <w:trHeight w:val="869" w:hRule="atLeast"/>
          <w:jc w:val="center"/>
        </w:trPr>
        <w:tc>
          <w:tcPr>
            <w:tcW w:w="1215" w:type="dxa"/>
            <w:vAlign w:val="bottom"/>
          </w:tcPr>
          <w:p w14:paraId="2AAEB0F2">
            <w:pPr>
              <w:jc w:val="center"/>
              <w:rPr>
                <w:bCs/>
                <w:color w:val="000000"/>
                <w:sz w:val="32"/>
              </w:rPr>
            </w:pPr>
            <w:r>
              <w:rPr>
                <w:bCs/>
                <w:color w:val="000000"/>
                <w:sz w:val="32"/>
              </w:rPr>
              <w:t>批准：</w:t>
            </w:r>
          </w:p>
        </w:tc>
        <w:tc>
          <w:tcPr>
            <w:tcW w:w="3823" w:type="dxa"/>
            <w:tcBorders>
              <w:top w:val="single" w:color="auto" w:sz="4" w:space="0"/>
              <w:bottom w:val="single" w:color="auto" w:sz="4" w:space="0"/>
            </w:tcBorders>
            <w:vAlign w:val="bottom"/>
          </w:tcPr>
          <w:p w14:paraId="0AC707B0">
            <w:pPr>
              <w:jc w:val="center"/>
              <w:rPr>
                <w:rFonts w:eastAsia="楷体_GB2312"/>
                <w:bCs/>
                <w:color w:val="000000"/>
                <w:sz w:val="32"/>
                <w:szCs w:val="30"/>
              </w:rPr>
            </w:pPr>
          </w:p>
        </w:tc>
      </w:tr>
    </w:tbl>
    <w:p w14:paraId="64FD5543">
      <w:pPr>
        <w:snapToGrid w:val="0"/>
        <w:jc w:val="center"/>
        <w:rPr>
          <w:rFonts w:eastAsia="黑体"/>
          <w:bCs/>
          <w:color w:val="000000"/>
          <w:sz w:val="52"/>
        </w:rPr>
      </w:pPr>
    </w:p>
    <w:p w14:paraId="65BCE7F2">
      <w:pPr>
        <w:jc w:val="center"/>
        <w:rPr>
          <w:rFonts w:eastAsia="楷体_GB2312"/>
          <w:bCs/>
          <w:color w:val="000000"/>
          <w:sz w:val="30"/>
          <w:szCs w:val="30"/>
        </w:rPr>
      </w:pPr>
      <w:r>
        <w:rPr>
          <w:rFonts w:hint="eastAsia" w:eastAsia="楷体_GB2312"/>
          <w:bCs/>
          <w:color w:val="000000"/>
          <w:sz w:val="30"/>
          <w:szCs w:val="30"/>
        </w:rPr>
        <w:t>国机特种设备检验有限公司</w:t>
      </w:r>
    </w:p>
    <w:p w14:paraId="1B1B0B61">
      <w:pPr>
        <w:jc w:val="center"/>
        <w:rPr>
          <w:color w:val="000000"/>
        </w:rPr>
      </w:pPr>
      <w:r>
        <w:rPr>
          <w:rFonts w:hint="eastAsia" w:eastAsia="楷体_GB2312"/>
          <w:bCs/>
          <w:color w:val="000000"/>
          <w:sz w:val="30"/>
          <w:szCs w:val="30"/>
        </w:rPr>
        <w:t>202</w:t>
      </w:r>
      <w:r>
        <w:rPr>
          <w:rFonts w:hint="eastAsia" w:eastAsia="楷体_GB2312"/>
          <w:bCs/>
          <w:color w:val="000000"/>
          <w:sz w:val="30"/>
          <w:szCs w:val="30"/>
          <w:lang w:val="en-US" w:eastAsia="zh-CN"/>
        </w:rPr>
        <w:t>6</w:t>
      </w:r>
      <w:r>
        <w:rPr>
          <w:rFonts w:eastAsia="楷体_GB2312"/>
          <w:bCs/>
          <w:color w:val="000000"/>
          <w:sz w:val="30"/>
          <w:szCs w:val="30"/>
        </w:rPr>
        <w:t>年</w:t>
      </w:r>
      <w:r>
        <w:rPr>
          <w:rFonts w:hint="eastAsia" w:eastAsia="楷体_GB2312"/>
          <w:bCs/>
          <w:color w:val="000000"/>
          <w:sz w:val="30"/>
          <w:szCs w:val="30"/>
          <w:lang w:val="en-US" w:eastAsia="zh-CN"/>
        </w:rPr>
        <w:t>3</w:t>
      </w:r>
      <w:r>
        <w:rPr>
          <w:rFonts w:eastAsia="楷体_GB2312"/>
          <w:bCs/>
          <w:color w:val="000000"/>
          <w:sz w:val="30"/>
          <w:szCs w:val="30"/>
        </w:rPr>
        <w:t>月</w:t>
      </w:r>
    </w:p>
    <w:p w14:paraId="1CA4895E">
      <w:pPr>
        <w:pStyle w:val="21"/>
        <w:rPr>
          <w:color w:val="000000"/>
        </w:rPr>
        <w:sectPr>
          <w:footerReference r:id="rId5" w:type="default"/>
          <w:footerReference r:id="rId6" w:type="even"/>
          <w:pgSz w:w="11906" w:h="16838"/>
          <w:pgMar w:top="1418" w:right="1418" w:bottom="1418" w:left="1701" w:header="1134" w:footer="1134" w:gutter="0"/>
          <w:pgNumType w:fmt="upperRoman" w:start="1"/>
          <w:cols w:space="720" w:num="1"/>
          <w:titlePg/>
          <w:docGrid w:type="lines" w:linePitch="460" w:charSpace="0"/>
        </w:sectPr>
      </w:pPr>
    </w:p>
    <w:p w14:paraId="74246394">
      <w:pPr>
        <w:pStyle w:val="21"/>
        <w:rPr>
          <w:rFonts w:eastAsia="黑体"/>
          <w:color w:val="000000"/>
          <w:sz w:val="36"/>
        </w:rPr>
      </w:pPr>
      <w:r>
        <w:rPr>
          <w:rFonts w:eastAsia="黑体"/>
          <w:color w:val="000000"/>
          <w:sz w:val="36"/>
        </w:rPr>
        <w:t>目　录</w:t>
      </w:r>
      <w:bookmarkEnd w:id="0"/>
    </w:p>
    <w:p w14:paraId="330D2678">
      <w:pPr>
        <w:snapToGrid w:val="0"/>
        <w:rPr>
          <w:color w:val="000000"/>
          <w:sz w:val="10"/>
        </w:rPr>
      </w:pPr>
    </w:p>
    <w:p w14:paraId="1A898D42">
      <w:pPr>
        <w:pStyle w:val="21"/>
        <w:rPr>
          <w:rFonts w:hint="eastAsia" w:ascii="等线" w:hAnsi="等线" w:eastAsia="等线"/>
          <w:sz w:val="21"/>
          <w:szCs w:val="22"/>
        </w:rPr>
      </w:pPr>
      <w:r>
        <w:rPr>
          <w:color w:val="000000"/>
        </w:rPr>
        <w:fldChar w:fldCharType="begin"/>
      </w:r>
      <w:r>
        <w:rPr>
          <w:color w:val="000000"/>
        </w:rPr>
        <w:instrText xml:space="preserve"> TOC \o "1-3" \h \z </w:instrText>
      </w:r>
      <w:r>
        <w:rPr>
          <w:color w:val="000000"/>
        </w:rPr>
        <w:fldChar w:fldCharType="separate"/>
      </w:r>
      <w:r>
        <w:fldChar w:fldCharType="begin"/>
      </w:r>
      <w:r>
        <w:instrText xml:space="preserve"> HYPERLINK \l "_Toc185152196" </w:instrText>
      </w:r>
      <w:r>
        <w:fldChar w:fldCharType="separate"/>
      </w:r>
      <w:r>
        <w:rPr>
          <w:rStyle w:val="35"/>
        </w:rPr>
        <w:t>1.</w:t>
      </w:r>
      <w:r>
        <w:rPr>
          <w:rFonts w:ascii="等线" w:hAnsi="等线" w:eastAsia="等线"/>
          <w:sz w:val="21"/>
          <w:szCs w:val="22"/>
        </w:rPr>
        <w:tab/>
      </w:r>
      <w:r>
        <w:rPr>
          <w:rStyle w:val="35"/>
        </w:rPr>
        <w:t>项目综述</w:t>
      </w:r>
      <w:r>
        <w:tab/>
      </w:r>
      <w:r>
        <w:fldChar w:fldCharType="begin"/>
      </w:r>
      <w:r>
        <w:instrText xml:space="preserve"> PAGEREF _Toc185152196 \h </w:instrText>
      </w:r>
      <w:r>
        <w:fldChar w:fldCharType="separate"/>
      </w:r>
      <w:r>
        <w:t>1</w:t>
      </w:r>
      <w:r>
        <w:fldChar w:fldCharType="end"/>
      </w:r>
      <w:r>
        <w:fldChar w:fldCharType="end"/>
      </w:r>
    </w:p>
    <w:p w14:paraId="29FCD147">
      <w:pPr>
        <w:pStyle w:val="25"/>
        <w:rPr>
          <w:rFonts w:hint="eastAsia" w:ascii="等线" w:hAnsi="等线" w:eastAsia="等线"/>
          <w:sz w:val="21"/>
          <w:szCs w:val="22"/>
        </w:rPr>
      </w:pPr>
      <w:r>
        <w:fldChar w:fldCharType="begin"/>
      </w:r>
      <w:r>
        <w:instrText xml:space="preserve"> HYPERLINK \l "_Toc185152197" </w:instrText>
      </w:r>
      <w:r>
        <w:fldChar w:fldCharType="separate"/>
      </w:r>
      <w:r>
        <w:rPr>
          <w:rStyle w:val="35"/>
        </w:rPr>
        <w:t>1.1</w:t>
      </w:r>
      <w:r>
        <w:rPr>
          <w:rFonts w:ascii="等线" w:hAnsi="等线" w:eastAsia="等线"/>
          <w:sz w:val="21"/>
          <w:szCs w:val="22"/>
        </w:rPr>
        <w:tab/>
      </w:r>
      <w:r>
        <w:rPr>
          <w:rStyle w:val="35"/>
        </w:rPr>
        <w:t>概况</w:t>
      </w:r>
      <w:r>
        <w:tab/>
      </w:r>
      <w:r>
        <w:fldChar w:fldCharType="begin"/>
      </w:r>
      <w:r>
        <w:instrText xml:space="preserve"> PAGEREF _Toc185152197 \h </w:instrText>
      </w:r>
      <w:r>
        <w:fldChar w:fldCharType="separate"/>
      </w:r>
      <w:r>
        <w:t>1</w:t>
      </w:r>
      <w:r>
        <w:fldChar w:fldCharType="end"/>
      </w:r>
      <w:r>
        <w:fldChar w:fldCharType="end"/>
      </w:r>
    </w:p>
    <w:p w14:paraId="62F56263">
      <w:pPr>
        <w:pStyle w:val="25"/>
        <w:rPr>
          <w:rFonts w:hint="eastAsia" w:ascii="等线" w:hAnsi="等线" w:eastAsia="等线"/>
          <w:sz w:val="21"/>
          <w:szCs w:val="22"/>
        </w:rPr>
      </w:pPr>
      <w:r>
        <w:fldChar w:fldCharType="begin"/>
      </w:r>
      <w:r>
        <w:instrText xml:space="preserve"> HYPERLINK \l "_Toc185152198" </w:instrText>
      </w:r>
      <w:r>
        <w:fldChar w:fldCharType="separate"/>
      </w:r>
      <w:r>
        <w:rPr>
          <w:rStyle w:val="35"/>
        </w:rPr>
        <w:t>1.2</w:t>
      </w:r>
      <w:r>
        <w:rPr>
          <w:rFonts w:ascii="等线" w:hAnsi="等线" w:eastAsia="等线"/>
          <w:sz w:val="21"/>
          <w:szCs w:val="22"/>
        </w:rPr>
        <w:tab/>
      </w:r>
      <w:r>
        <w:rPr>
          <w:rStyle w:val="35"/>
        </w:rPr>
        <w:t>主要成果</w:t>
      </w:r>
      <w:r>
        <w:tab/>
      </w:r>
      <w:r>
        <w:fldChar w:fldCharType="begin"/>
      </w:r>
      <w:r>
        <w:instrText xml:space="preserve"> PAGEREF _Toc185152198 \h </w:instrText>
      </w:r>
      <w:r>
        <w:fldChar w:fldCharType="separate"/>
      </w:r>
      <w:r>
        <w:t>1</w:t>
      </w:r>
      <w:r>
        <w:fldChar w:fldCharType="end"/>
      </w:r>
      <w:r>
        <w:fldChar w:fldCharType="end"/>
      </w:r>
    </w:p>
    <w:p w14:paraId="7ACC68BF">
      <w:pPr>
        <w:pStyle w:val="21"/>
        <w:rPr>
          <w:rFonts w:hint="eastAsia" w:ascii="等线" w:hAnsi="等线" w:eastAsia="等线"/>
          <w:sz w:val="21"/>
          <w:szCs w:val="22"/>
        </w:rPr>
      </w:pPr>
      <w:r>
        <w:fldChar w:fldCharType="begin"/>
      </w:r>
      <w:r>
        <w:instrText xml:space="preserve"> HYPERLINK \l "_Toc185152199" </w:instrText>
      </w:r>
      <w:r>
        <w:fldChar w:fldCharType="separate"/>
      </w:r>
      <w:r>
        <w:rPr>
          <w:rStyle w:val="35"/>
        </w:rPr>
        <w:t>2.</w:t>
      </w:r>
      <w:r>
        <w:rPr>
          <w:rFonts w:ascii="等线" w:hAnsi="等线" w:eastAsia="等线"/>
          <w:sz w:val="21"/>
          <w:szCs w:val="22"/>
        </w:rPr>
        <w:tab/>
      </w:r>
      <w:r>
        <w:rPr>
          <w:rStyle w:val="35"/>
        </w:rPr>
        <w:t>RBI技术概述</w:t>
      </w:r>
      <w:r>
        <w:tab/>
      </w:r>
      <w:r>
        <w:fldChar w:fldCharType="begin"/>
      </w:r>
      <w:r>
        <w:instrText xml:space="preserve"> PAGEREF _Toc185152199 \h </w:instrText>
      </w:r>
      <w:r>
        <w:fldChar w:fldCharType="separate"/>
      </w:r>
      <w:r>
        <w:t>2</w:t>
      </w:r>
      <w:r>
        <w:fldChar w:fldCharType="end"/>
      </w:r>
      <w:r>
        <w:fldChar w:fldCharType="end"/>
      </w:r>
    </w:p>
    <w:p w14:paraId="0EDB6019">
      <w:pPr>
        <w:pStyle w:val="21"/>
        <w:rPr>
          <w:rFonts w:hint="eastAsia" w:ascii="等线" w:hAnsi="等线" w:eastAsia="等线"/>
          <w:sz w:val="21"/>
          <w:szCs w:val="22"/>
        </w:rPr>
      </w:pPr>
      <w:r>
        <w:fldChar w:fldCharType="begin"/>
      </w:r>
      <w:r>
        <w:instrText xml:space="preserve"> HYPERLINK \l "_Toc185152200" </w:instrText>
      </w:r>
      <w:r>
        <w:fldChar w:fldCharType="separate"/>
      </w:r>
      <w:r>
        <w:rPr>
          <w:rStyle w:val="35"/>
        </w:rPr>
        <w:t>3.</w:t>
      </w:r>
      <w:r>
        <w:rPr>
          <w:rFonts w:ascii="等线" w:hAnsi="等线" w:eastAsia="等线"/>
          <w:sz w:val="21"/>
          <w:szCs w:val="22"/>
        </w:rPr>
        <w:tab/>
      </w:r>
      <w:r>
        <w:rPr>
          <w:rStyle w:val="35"/>
        </w:rPr>
        <w:t>项目实施执行或参照的标准、法规和资料</w:t>
      </w:r>
      <w:r>
        <w:tab/>
      </w:r>
      <w:r>
        <w:fldChar w:fldCharType="begin"/>
      </w:r>
      <w:r>
        <w:instrText xml:space="preserve"> PAGEREF _Toc185152200 \h </w:instrText>
      </w:r>
      <w:r>
        <w:fldChar w:fldCharType="separate"/>
      </w:r>
      <w:r>
        <w:t>2</w:t>
      </w:r>
      <w:r>
        <w:fldChar w:fldCharType="end"/>
      </w:r>
      <w:r>
        <w:fldChar w:fldCharType="end"/>
      </w:r>
    </w:p>
    <w:p w14:paraId="11026A8A">
      <w:pPr>
        <w:pStyle w:val="21"/>
        <w:rPr>
          <w:rFonts w:hint="eastAsia" w:ascii="等线" w:hAnsi="等线" w:eastAsia="等线"/>
          <w:sz w:val="21"/>
          <w:szCs w:val="22"/>
        </w:rPr>
      </w:pPr>
      <w:r>
        <w:fldChar w:fldCharType="begin"/>
      </w:r>
      <w:r>
        <w:instrText xml:space="preserve"> HYPERLINK \l "_Toc185152201" </w:instrText>
      </w:r>
      <w:r>
        <w:fldChar w:fldCharType="separate"/>
      </w:r>
      <w:r>
        <w:rPr>
          <w:rStyle w:val="35"/>
        </w:rPr>
        <w:t>4.</w:t>
      </w:r>
      <w:r>
        <w:rPr>
          <w:rFonts w:ascii="等线" w:hAnsi="等线" w:eastAsia="等线"/>
          <w:sz w:val="21"/>
          <w:szCs w:val="22"/>
        </w:rPr>
        <w:tab/>
      </w:r>
      <w:r>
        <w:rPr>
          <w:rStyle w:val="35"/>
        </w:rPr>
        <w:t>安全阀的RBI评估</w:t>
      </w:r>
      <w:r>
        <w:tab/>
      </w:r>
      <w:r>
        <w:fldChar w:fldCharType="begin"/>
      </w:r>
      <w:r>
        <w:instrText xml:space="preserve"> PAGEREF _Toc185152201 \h </w:instrText>
      </w:r>
      <w:r>
        <w:fldChar w:fldCharType="separate"/>
      </w:r>
      <w:r>
        <w:t>3</w:t>
      </w:r>
      <w:r>
        <w:fldChar w:fldCharType="end"/>
      </w:r>
      <w:r>
        <w:fldChar w:fldCharType="end"/>
      </w:r>
    </w:p>
    <w:p w14:paraId="24BDE03D">
      <w:pPr>
        <w:pStyle w:val="25"/>
        <w:rPr>
          <w:rFonts w:hint="eastAsia" w:ascii="等线" w:hAnsi="等线" w:eastAsia="等线"/>
          <w:sz w:val="21"/>
          <w:szCs w:val="22"/>
        </w:rPr>
      </w:pPr>
      <w:r>
        <w:fldChar w:fldCharType="begin"/>
      </w:r>
      <w:r>
        <w:instrText xml:space="preserve"> HYPERLINK \l "_Toc185152202" </w:instrText>
      </w:r>
      <w:r>
        <w:fldChar w:fldCharType="separate"/>
      </w:r>
      <w:r>
        <w:rPr>
          <w:rStyle w:val="35"/>
        </w:rPr>
        <w:t>4.1 安全阀失效模式分析</w:t>
      </w:r>
      <w:r>
        <w:tab/>
      </w:r>
      <w:r>
        <w:fldChar w:fldCharType="begin"/>
      </w:r>
      <w:r>
        <w:instrText xml:space="preserve"> PAGEREF _Toc185152202 \h </w:instrText>
      </w:r>
      <w:r>
        <w:fldChar w:fldCharType="separate"/>
      </w:r>
      <w:r>
        <w:t>3</w:t>
      </w:r>
      <w:r>
        <w:fldChar w:fldCharType="end"/>
      </w:r>
      <w:r>
        <w:fldChar w:fldCharType="end"/>
      </w:r>
    </w:p>
    <w:p w14:paraId="23504F2A">
      <w:pPr>
        <w:pStyle w:val="25"/>
        <w:rPr>
          <w:rFonts w:hint="eastAsia" w:ascii="等线" w:hAnsi="等线" w:eastAsia="等线"/>
          <w:sz w:val="21"/>
          <w:szCs w:val="22"/>
        </w:rPr>
      </w:pPr>
      <w:r>
        <w:fldChar w:fldCharType="begin"/>
      </w:r>
      <w:r>
        <w:instrText xml:space="preserve"> HYPERLINK \l "_Toc185152203" </w:instrText>
      </w:r>
      <w:r>
        <w:fldChar w:fldCharType="separate"/>
      </w:r>
      <w:r>
        <w:rPr>
          <w:rStyle w:val="35"/>
        </w:rPr>
        <w:t>4.2</w:t>
      </w:r>
      <w:r>
        <w:rPr>
          <w:rStyle w:val="35"/>
          <w:b/>
        </w:rPr>
        <w:t xml:space="preserve"> </w:t>
      </w:r>
      <w:r>
        <w:rPr>
          <w:rStyle w:val="35"/>
        </w:rPr>
        <w:t>安全阀失效可能性确定</w:t>
      </w:r>
      <w:r>
        <w:tab/>
      </w:r>
      <w:r>
        <w:fldChar w:fldCharType="begin"/>
      </w:r>
      <w:r>
        <w:instrText xml:space="preserve"> PAGEREF _Toc185152203 \h </w:instrText>
      </w:r>
      <w:r>
        <w:fldChar w:fldCharType="separate"/>
      </w:r>
      <w:r>
        <w:t>4</w:t>
      </w:r>
      <w:r>
        <w:fldChar w:fldCharType="end"/>
      </w:r>
      <w:r>
        <w:fldChar w:fldCharType="end"/>
      </w:r>
    </w:p>
    <w:p w14:paraId="5AF9D147">
      <w:pPr>
        <w:pStyle w:val="25"/>
        <w:rPr>
          <w:rFonts w:hint="eastAsia" w:ascii="等线" w:hAnsi="等线" w:eastAsia="等线"/>
          <w:sz w:val="21"/>
          <w:szCs w:val="22"/>
        </w:rPr>
      </w:pPr>
      <w:r>
        <w:fldChar w:fldCharType="begin"/>
      </w:r>
      <w:r>
        <w:instrText xml:space="preserve"> HYPERLINK \l "_Toc185152204" </w:instrText>
      </w:r>
      <w:r>
        <w:fldChar w:fldCharType="separate"/>
      </w:r>
      <w:r>
        <w:rPr>
          <w:rStyle w:val="35"/>
        </w:rPr>
        <w:t>4.3</w:t>
      </w:r>
      <w:r>
        <w:rPr>
          <w:rStyle w:val="35"/>
          <w:b/>
        </w:rPr>
        <w:t xml:space="preserve"> </w:t>
      </w:r>
      <w:r>
        <w:rPr>
          <w:rStyle w:val="35"/>
        </w:rPr>
        <w:t>安全阀失效后果确定</w:t>
      </w:r>
      <w:r>
        <w:tab/>
      </w:r>
      <w:r>
        <w:fldChar w:fldCharType="begin"/>
      </w:r>
      <w:r>
        <w:instrText xml:space="preserve"> PAGEREF _Toc185152204 \h </w:instrText>
      </w:r>
      <w:r>
        <w:fldChar w:fldCharType="separate"/>
      </w:r>
      <w:r>
        <w:t>4</w:t>
      </w:r>
      <w:r>
        <w:fldChar w:fldCharType="end"/>
      </w:r>
      <w:r>
        <w:fldChar w:fldCharType="end"/>
      </w:r>
    </w:p>
    <w:p w14:paraId="3CDE7486">
      <w:pPr>
        <w:pStyle w:val="25"/>
        <w:rPr>
          <w:rFonts w:hint="eastAsia" w:ascii="等线" w:hAnsi="等线" w:eastAsia="等线"/>
          <w:sz w:val="21"/>
          <w:szCs w:val="22"/>
        </w:rPr>
      </w:pPr>
      <w:r>
        <w:fldChar w:fldCharType="begin"/>
      </w:r>
      <w:r>
        <w:instrText xml:space="preserve"> HYPERLINK \l "_Toc185152205" </w:instrText>
      </w:r>
      <w:r>
        <w:fldChar w:fldCharType="separate"/>
      </w:r>
      <w:r>
        <w:rPr>
          <w:rStyle w:val="35"/>
        </w:rPr>
        <w:t>4.4 安全阀校验周期确定原则</w:t>
      </w:r>
      <w:r>
        <w:tab/>
      </w:r>
      <w:r>
        <w:fldChar w:fldCharType="begin"/>
      </w:r>
      <w:r>
        <w:instrText xml:space="preserve"> PAGEREF _Toc185152205 \h </w:instrText>
      </w:r>
      <w:r>
        <w:fldChar w:fldCharType="separate"/>
      </w:r>
      <w:r>
        <w:t>4</w:t>
      </w:r>
      <w:r>
        <w:fldChar w:fldCharType="end"/>
      </w:r>
      <w:r>
        <w:fldChar w:fldCharType="end"/>
      </w:r>
    </w:p>
    <w:p w14:paraId="3D290974">
      <w:pPr>
        <w:pStyle w:val="21"/>
        <w:rPr>
          <w:rFonts w:hint="eastAsia" w:ascii="等线" w:hAnsi="等线" w:eastAsia="等线"/>
          <w:sz w:val="21"/>
          <w:szCs w:val="22"/>
        </w:rPr>
      </w:pPr>
      <w:r>
        <w:fldChar w:fldCharType="begin"/>
      </w:r>
      <w:r>
        <w:instrText xml:space="preserve"> HYPERLINK \l "_Toc185152206" </w:instrText>
      </w:r>
      <w:r>
        <w:fldChar w:fldCharType="separate"/>
      </w:r>
      <w:r>
        <w:rPr>
          <w:rStyle w:val="35"/>
        </w:rPr>
        <w:t>5. 公司概况</w:t>
      </w:r>
      <w:r>
        <w:tab/>
      </w:r>
      <w:r>
        <w:fldChar w:fldCharType="begin"/>
      </w:r>
      <w:r>
        <w:instrText xml:space="preserve"> PAGEREF _Toc185152206 \h </w:instrText>
      </w:r>
      <w:r>
        <w:fldChar w:fldCharType="separate"/>
      </w:r>
      <w:r>
        <w:t>5</w:t>
      </w:r>
      <w:r>
        <w:fldChar w:fldCharType="end"/>
      </w:r>
      <w:r>
        <w:fldChar w:fldCharType="end"/>
      </w:r>
    </w:p>
    <w:p w14:paraId="6A5C79A2">
      <w:pPr>
        <w:pStyle w:val="25"/>
        <w:rPr>
          <w:rFonts w:hint="eastAsia" w:ascii="等线" w:hAnsi="等线" w:eastAsia="等线"/>
          <w:sz w:val="21"/>
          <w:szCs w:val="22"/>
        </w:rPr>
      </w:pPr>
      <w:r>
        <w:fldChar w:fldCharType="begin"/>
      </w:r>
      <w:r>
        <w:instrText xml:space="preserve"> HYPERLINK \l "_Toc185152207" </w:instrText>
      </w:r>
      <w:r>
        <w:fldChar w:fldCharType="separate"/>
      </w:r>
      <w:r>
        <w:rPr>
          <w:rStyle w:val="35"/>
        </w:rPr>
        <w:t>5.1 装置安全阀统计</w:t>
      </w:r>
      <w:r>
        <w:tab/>
      </w:r>
      <w:r>
        <w:fldChar w:fldCharType="begin"/>
      </w:r>
      <w:r>
        <w:instrText xml:space="preserve"> PAGEREF _Toc185152207 \h </w:instrText>
      </w:r>
      <w:r>
        <w:fldChar w:fldCharType="separate"/>
      </w:r>
      <w:r>
        <w:t>6</w:t>
      </w:r>
      <w:r>
        <w:fldChar w:fldCharType="end"/>
      </w:r>
      <w:r>
        <w:fldChar w:fldCharType="end"/>
      </w:r>
    </w:p>
    <w:p w14:paraId="78B33B87">
      <w:pPr>
        <w:pStyle w:val="25"/>
        <w:rPr>
          <w:rFonts w:hint="eastAsia" w:ascii="等线" w:hAnsi="等线" w:eastAsia="等线"/>
          <w:sz w:val="21"/>
          <w:szCs w:val="22"/>
        </w:rPr>
      </w:pPr>
      <w:r>
        <w:fldChar w:fldCharType="begin"/>
      </w:r>
      <w:r>
        <w:instrText xml:space="preserve"> HYPERLINK \l "_Toc185152208" </w:instrText>
      </w:r>
      <w:r>
        <w:fldChar w:fldCharType="separate"/>
      </w:r>
      <w:r>
        <w:rPr>
          <w:rStyle w:val="35"/>
        </w:rPr>
        <w:t>5.2 安全阀运行状况、校验历史与检验周期</w:t>
      </w:r>
      <w:r>
        <w:tab/>
      </w:r>
      <w:r>
        <w:fldChar w:fldCharType="begin"/>
      </w:r>
      <w:r>
        <w:instrText xml:space="preserve"> PAGEREF _Toc185152208 \h </w:instrText>
      </w:r>
      <w:r>
        <w:fldChar w:fldCharType="separate"/>
      </w:r>
      <w:r>
        <w:t>7</w:t>
      </w:r>
      <w:r>
        <w:fldChar w:fldCharType="end"/>
      </w:r>
      <w:r>
        <w:fldChar w:fldCharType="end"/>
      </w:r>
    </w:p>
    <w:p w14:paraId="0EFF97AB">
      <w:pPr>
        <w:pStyle w:val="21"/>
        <w:rPr>
          <w:rFonts w:hint="eastAsia" w:ascii="等线" w:hAnsi="等线" w:eastAsia="等线"/>
          <w:sz w:val="21"/>
          <w:szCs w:val="22"/>
        </w:rPr>
      </w:pPr>
      <w:r>
        <w:fldChar w:fldCharType="begin"/>
      </w:r>
      <w:r>
        <w:instrText xml:space="preserve"> HYPERLINK \l "_Toc185152209" </w:instrText>
      </w:r>
      <w:r>
        <w:fldChar w:fldCharType="separate"/>
      </w:r>
      <w:r>
        <w:rPr>
          <w:rStyle w:val="35"/>
        </w:rPr>
        <w:t>6. 风险分析结果</w:t>
      </w:r>
      <w:r>
        <w:tab/>
      </w:r>
      <w:r>
        <w:fldChar w:fldCharType="begin"/>
      </w:r>
      <w:r>
        <w:instrText xml:space="preserve"> PAGEREF _Toc185152209 \h </w:instrText>
      </w:r>
      <w:r>
        <w:fldChar w:fldCharType="separate"/>
      </w:r>
      <w:r>
        <w:t>7</w:t>
      </w:r>
      <w:r>
        <w:fldChar w:fldCharType="end"/>
      </w:r>
      <w:r>
        <w:fldChar w:fldCharType="end"/>
      </w:r>
    </w:p>
    <w:p w14:paraId="7E6A24B4">
      <w:pPr>
        <w:pStyle w:val="25"/>
        <w:rPr>
          <w:rFonts w:hint="eastAsia" w:ascii="等线" w:hAnsi="等线" w:eastAsia="等线"/>
          <w:sz w:val="21"/>
          <w:szCs w:val="22"/>
        </w:rPr>
      </w:pPr>
      <w:r>
        <w:fldChar w:fldCharType="begin"/>
      </w:r>
      <w:r>
        <w:instrText xml:space="preserve"> HYPERLINK \l "_Toc185152210" </w:instrText>
      </w:r>
      <w:r>
        <w:fldChar w:fldCharType="separate"/>
      </w:r>
      <w:r>
        <w:rPr>
          <w:rStyle w:val="35"/>
        </w:rPr>
        <w:t>6.1 风险分布</w:t>
      </w:r>
      <w:r>
        <w:tab/>
      </w:r>
      <w:r>
        <w:fldChar w:fldCharType="begin"/>
      </w:r>
      <w:r>
        <w:instrText xml:space="preserve"> PAGEREF _Toc185152210 \h </w:instrText>
      </w:r>
      <w:r>
        <w:fldChar w:fldCharType="separate"/>
      </w:r>
      <w:r>
        <w:t>7</w:t>
      </w:r>
      <w:r>
        <w:fldChar w:fldCharType="end"/>
      </w:r>
      <w:r>
        <w:fldChar w:fldCharType="end"/>
      </w:r>
    </w:p>
    <w:p w14:paraId="490F0653">
      <w:pPr>
        <w:pStyle w:val="25"/>
        <w:rPr>
          <w:rFonts w:hint="eastAsia" w:ascii="等线" w:hAnsi="等线" w:eastAsia="等线"/>
          <w:sz w:val="21"/>
          <w:szCs w:val="22"/>
        </w:rPr>
      </w:pPr>
      <w:r>
        <w:fldChar w:fldCharType="begin"/>
      </w:r>
      <w:r>
        <w:instrText xml:space="preserve"> HYPERLINK \l "_Toc185152211" </w:instrText>
      </w:r>
      <w:r>
        <w:fldChar w:fldCharType="separate"/>
      </w:r>
      <w:r>
        <w:rPr>
          <w:rStyle w:val="35"/>
        </w:rPr>
        <w:t>6.2 风险统计</w:t>
      </w:r>
      <w:r>
        <w:tab/>
      </w:r>
      <w:r>
        <w:fldChar w:fldCharType="begin"/>
      </w:r>
      <w:r>
        <w:instrText xml:space="preserve"> PAGEREF _Toc185152211 \h </w:instrText>
      </w:r>
      <w:r>
        <w:fldChar w:fldCharType="separate"/>
      </w:r>
      <w:r>
        <w:t>10</w:t>
      </w:r>
      <w:r>
        <w:fldChar w:fldCharType="end"/>
      </w:r>
      <w:r>
        <w:fldChar w:fldCharType="end"/>
      </w:r>
    </w:p>
    <w:p w14:paraId="60727E95">
      <w:pPr>
        <w:pStyle w:val="21"/>
        <w:rPr>
          <w:rFonts w:hint="eastAsia" w:ascii="等线" w:hAnsi="等线" w:eastAsia="等线"/>
          <w:sz w:val="21"/>
          <w:szCs w:val="22"/>
        </w:rPr>
      </w:pPr>
      <w:r>
        <w:fldChar w:fldCharType="begin"/>
      </w:r>
      <w:r>
        <w:instrText xml:space="preserve"> HYPERLINK \l "_Toc185152212" </w:instrText>
      </w:r>
      <w:r>
        <w:fldChar w:fldCharType="separate"/>
      </w:r>
      <w:r>
        <w:rPr>
          <w:rStyle w:val="35"/>
        </w:rPr>
        <w:t>7. 安全阀管理维护</w:t>
      </w:r>
      <w:r>
        <w:tab/>
      </w:r>
      <w:r>
        <w:fldChar w:fldCharType="begin"/>
      </w:r>
      <w:r>
        <w:instrText xml:space="preserve"> PAGEREF _Toc185152212 \h </w:instrText>
      </w:r>
      <w:r>
        <w:fldChar w:fldCharType="separate"/>
      </w:r>
      <w:r>
        <w:t>11</w:t>
      </w:r>
      <w:r>
        <w:fldChar w:fldCharType="end"/>
      </w:r>
      <w:r>
        <w:fldChar w:fldCharType="end"/>
      </w:r>
    </w:p>
    <w:p w14:paraId="16BD9568">
      <w:pPr>
        <w:pStyle w:val="21"/>
        <w:rPr>
          <w:rFonts w:hint="eastAsia" w:ascii="等线" w:hAnsi="等线" w:eastAsia="等线"/>
          <w:sz w:val="21"/>
          <w:szCs w:val="22"/>
        </w:rPr>
      </w:pPr>
      <w:r>
        <w:fldChar w:fldCharType="begin"/>
      </w:r>
      <w:r>
        <w:instrText xml:space="preserve"> HYPERLINK \l "_Toc185152215" </w:instrText>
      </w:r>
      <w:r>
        <w:fldChar w:fldCharType="separate"/>
      </w:r>
      <w:r>
        <w:rPr>
          <w:rStyle w:val="35"/>
        </w:rPr>
        <w:t>8. 结束语</w:t>
      </w:r>
      <w:r>
        <w:tab/>
      </w:r>
      <w:r>
        <w:fldChar w:fldCharType="begin"/>
      </w:r>
      <w:r>
        <w:instrText xml:space="preserve"> PAGEREF _Toc185152215 \h </w:instrText>
      </w:r>
      <w:r>
        <w:fldChar w:fldCharType="separate"/>
      </w:r>
      <w:r>
        <w:t>12</w:t>
      </w:r>
      <w:r>
        <w:fldChar w:fldCharType="end"/>
      </w:r>
      <w:r>
        <w:fldChar w:fldCharType="end"/>
      </w:r>
    </w:p>
    <w:p w14:paraId="02197F8A">
      <w:pPr>
        <w:pStyle w:val="21"/>
        <w:rPr>
          <w:rFonts w:hint="eastAsia" w:ascii="等线" w:hAnsi="等线" w:eastAsia="等线"/>
          <w:sz w:val="21"/>
          <w:szCs w:val="22"/>
        </w:rPr>
      </w:pPr>
      <w:r>
        <w:fldChar w:fldCharType="begin"/>
      </w:r>
      <w:r>
        <w:instrText xml:space="preserve"> HYPERLINK \l "_Toc185152216" </w:instrText>
      </w:r>
      <w:r>
        <w:fldChar w:fldCharType="separate"/>
      </w:r>
      <w:r>
        <w:rPr>
          <w:rStyle w:val="35"/>
        </w:rPr>
        <w:t>附录</w:t>
      </w:r>
      <w:r>
        <w:tab/>
      </w:r>
      <w:r>
        <w:fldChar w:fldCharType="begin"/>
      </w:r>
      <w:r>
        <w:instrText xml:space="preserve"> PAGEREF _Toc185152216 \h </w:instrText>
      </w:r>
      <w:r>
        <w:fldChar w:fldCharType="separate"/>
      </w:r>
      <w:r>
        <w:t>12</w:t>
      </w:r>
      <w:r>
        <w:fldChar w:fldCharType="end"/>
      </w:r>
      <w:r>
        <w:fldChar w:fldCharType="end"/>
      </w:r>
    </w:p>
    <w:p w14:paraId="273E92EC">
      <w:pPr>
        <w:pStyle w:val="25"/>
        <w:rPr>
          <w:rFonts w:hint="eastAsia" w:ascii="等线" w:hAnsi="等线" w:eastAsia="等线"/>
          <w:sz w:val="21"/>
          <w:szCs w:val="22"/>
        </w:rPr>
      </w:pPr>
      <w:r>
        <w:fldChar w:fldCharType="begin"/>
      </w:r>
      <w:r>
        <w:instrText xml:space="preserve"> HYPERLINK \l "_Toc185152217" </w:instrText>
      </w:r>
      <w:r>
        <w:fldChar w:fldCharType="separate"/>
      </w:r>
      <w:r>
        <w:rPr>
          <w:rStyle w:val="35"/>
        </w:rPr>
        <w:t>附录1. 安全阀基础数据表</w:t>
      </w:r>
      <w:r>
        <w:tab/>
      </w:r>
      <w:r>
        <w:fldChar w:fldCharType="begin"/>
      </w:r>
      <w:r>
        <w:instrText xml:space="preserve"> PAGEREF _Toc185152217 \h </w:instrText>
      </w:r>
      <w:r>
        <w:fldChar w:fldCharType="separate"/>
      </w:r>
      <w:r>
        <w:t>12</w:t>
      </w:r>
      <w:r>
        <w:fldChar w:fldCharType="end"/>
      </w:r>
      <w:r>
        <w:fldChar w:fldCharType="end"/>
      </w:r>
    </w:p>
    <w:p w14:paraId="26972DA6">
      <w:pPr>
        <w:pStyle w:val="25"/>
        <w:rPr>
          <w:rFonts w:hint="eastAsia" w:ascii="等线" w:hAnsi="等线" w:eastAsia="等线"/>
          <w:sz w:val="21"/>
          <w:szCs w:val="22"/>
        </w:rPr>
      </w:pPr>
      <w:r>
        <w:fldChar w:fldCharType="begin"/>
      </w:r>
      <w:r>
        <w:instrText xml:space="preserve"> HYPERLINK \l "_Toc185152218" </w:instrText>
      </w:r>
      <w:r>
        <w:fldChar w:fldCharType="separate"/>
      </w:r>
      <w:r>
        <w:rPr>
          <w:rStyle w:val="35"/>
        </w:rPr>
        <w:t>附录2. 安全阀风险等级、下次校验日期</w:t>
      </w:r>
      <w:r>
        <w:tab/>
      </w:r>
      <w:r>
        <w:fldChar w:fldCharType="begin"/>
      </w:r>
      <w:r>
        <w:instrText xml:space="preserve"> PAGEREF _Toc185152218 \h </w:instrText>
      </w:r>
      <w:r>
        <w:fldChar w:fldCharType="separate"/>
      </w:r>
      <w:r>
        <w:t>12</w:t>
      </w:r>
      <w:r>
        <w:fldChar w:fldCharType="end"/>
      </w:r>
      <w:r>
        <w:fldChar w:fldCharType="end"/>
      </w:r>
    </w:p>
    <w:p w14:paraId="1210027C">
      <w:pPr>
        <w:snapToGrid w:val="0"/>
        <w:spacing w:line="324" w:lineRule="auto"/>
        <w:rPr>
          <w:bCs/>
          <w:color w:val="000000"/>
        </w:rPr>
        <w:sectPr>
          <w:pgSz w:w="11906" w:h="16838"/>
          <w:pgMar w:top="1418" w:right="1418" w:bottom="1418" w:left="1701" w:header="1134" w:footer="1134" w:gutter="0"/>
          <w:pgNumType w:fmt="upperRoman" w:start="1"/>
          <w:cols w:space="720" w:num="1"/>
          <w:docGrid w:type="lines" w:linePitch="460" w:charSpace="0"/>
        </w:sectPr>
      </w:pPr>
      <w:r>
        <w:rPr>
          <w:bCs/>
          <w:color w:val="000000"/>
        </w:rPr>
        <w:fldChar w:fldCharType="end"/>
      </w:r>
    </w:p>
    <w:p w14:paraId="07F601AD">
      <w:pPr>
        <w:pStyle w:val="2"/>
        <w:spacing w:before="0" w:beforeLines="0" w:after="230" w:afterLines="0"/>
        <w:rPr>
          <w:kern w:val="2"/>
          <w:sz w:val="28"/>
        </w:rPr>
      </w:pPr>
      <w:bookmarkStart w:id="1" w:name="_Toc98261443"/>
      <w:bookmarkStart w:id="2" w:name="_Toc185152196"/>
      <w:r>
        <w:rPr>
          <w:kern w:val="2"/>
          <w:sz w:val="28"/>
        </w:rPr>
        <w:t>1.</w:t>
      </w:r>
      <w:r>
        <w:rPr>
          <w:kern w:val="2"/>
          <w:sz w:val="28"/>
        </w:rPr>
        <w:tab/>
      </w:r>
      <w:r>
        <w:rPr>
          <w:kern w:val="2"/>
          <w:sz w:val="28"/>
        </w:rPr>
        <w:t>项目</w:t>
      </w:r>
      <w:bookmarkEnd w:id="1"/>
      <w:r>
        <w:rPr>
          <w:rFonts w:hint="eastAsia"/>
          <w:kern w:val="2"/>
          <w:sz w:val="28"/>
        </w:rPr>
        <w:t>综述</w:t>
      </w:r>
      <w:bookmarkEnd w:id="2"/>
    </w:p>
    <w:p w14:paraId="03AB01F9">
      <w:pPr>
        <w:pStyle w:val="3"/>
        <w:spacing w:before="115" w:beforeLines="25" w:after="115" w:afterLines="25"/>
        <w:rPr>
          <w:color w:val="000000"/>
          <w:szCs w:val="24"/>
        </w:rPr>
      </w:pPr>
      <w:bookmarkStart w:id="3" w:name="_Toc185152197"/>
      <w:r>
        <w:rPr>
          <w:rFonts w:hint="eastAsia"/>
          <w:color w:val="000000"/>
          <w:szCs w:val="24"/>
        </w:rPr>
        <w:t>1</w:t>
      </w:r>
      <w:r>
        <w:rPr>
          <w:color w:val="000000"/>
          <w:szCs w:val="24"/>
        </w:rPr>
        <w:t>.1</w:t>
      </w:r>
      <w:r>
        <w:rPr>
          <w:color w:val="000000"/>
          <w:szCs w:val="24"/>
        </w:rPr>
        <w:tab/>
      </w:r>
      <w:r>
        <w:rPr>
          <w:rFonts w:hint="eastAsia"/>
          <w:color w:val="000000"/>
          <w:szCs w:val="24"/>
        </w:rPr>
        <w:t>概况</w:t>
      </w:r>
      <w:bookmarkEnd w:id="3"/>
    </w:p>
    <w:p w14:paraId="527762CE">
      <w:pPr>
        <w:ind w:firstLine="480" w:firstLineChars="200"/>
        <w:rPr>
          <w:bCs/>
          <w:color w:val="000000"/>
        </w:rPr>
      </w:pPr>
      <w:r>
        <w:rPr>
          <w:rFonts w:hint="eastAsia"/>
          <w:bCs/>
          <w:color w:val="000000"/>
        </w:rPr>
        <w:t>受</w:t>
      </w:r>
      <w:r>
        <w:rPr>
          <w:rFonts w:hint="eastAsia"/>
          <w:bCs/>
          <w:color w:val="000000"/>
          <w:lang w:val="en-US" w:eastAsia="zh-CN"/>
        </w:rPr>
        <w:t>中国石油天然气股份有限公司大庆炼化分公司</w:t>
      </w:r>
      <w:r>
        <w:rPr>
          <w:rFonts w:hint="eastAsia"/>
          <w:bCs/>
          <w:color w:val="000000"/>
        </w:rPr>
        <w:t>（以下简称</w:t>
      </w:r>
      <w:r>
        <w:rPr>
          <w:rFonts w:hint="eastAsia"/>
          <w:bCs/>
          <w:color w:val="000000"/>
          <w:lang w:val="en-US" w:eastAsia="zh-CN"/>
        </w:rPr>
        <w:t>大庆炼化</w:t>
      </w:r>
      <w:r>
        <w:rPr>
          <w:rFonts w:hint="eastAsia"/>
          <w:bCs/>
          <w:color w:val="000000"/>
        </w:rPr>
        <w:t>）的委托，国机特种设备检验有限公司承担</w:t>
      </w:r>
      <w:r>
        <w:rPr>
          <w:bCs/>
          <w:color w:val="000000"/>
        </w:rPr>
        <w:t>该公司</w:t>
      </w:r>
      <w:r>
        <w:rPr>
          <w:rFonts w:hint="eastAsia"/>
          <w:bCs/>
          <w:color w:val="000000"/>
          <w:lang w:val="en-US" w:eastAsia="zh-CN"/>
        </w:rPr>
        <w:t>部分</w:t>
      </w:r>
      <w:r>
        <w:rPr>
          <w:rFonts w:hint="eastAsia"/>
          <w:bCs/>
          <w:color w:val="000000"/>
        </w:rPr>
        <w:t>安全阀</w:t>
      </w:r>
      <w:r>
        <w:rPr>
          <w:bCs/>
          <w:color w:val="000000"/>
        </w:rPr>
        <w:t>的风险评估(Risk-Based Inspection)项目。该项目</w:t>
      </w:r>
      <w:r>
        <w:rPr>
          <w:rFonts w:hint="eastAsia"/>
          <w:bCs/>
          <w:color w:val="000000"/>
        </w:rPr>
        <w:t>是在机动部领导与装置工作人员的大力支持与配合下，</w:t>
      </w:r>
      <w:r>
        <w:rPr>
          <w:bCs/>
          <w:color w:val="000000"/>
        </w:rPr>
        <w:t>利用</w:t>
      </w:r>
      <w:r>
        <w:rPr>
          <w:rFonts w:hint="eastAsia"/>
          <w:bCs/>
          <w:color w:val="000000"/>
        </w:rPr>
        <w:t>国机特种设备检验有限公司自主</w:t>
      </w:r>
      <w:r>
        <w:rPr>
          <w:bCs/>
          <w:color w:val="000000"/>
        </w:rPr>
        <w:t>开发的先进的</w:t>
      </w:r>
      <w:r>
        <w:rPr>
          <w:bCs/>
          <w:color w:val="000000"/>
          <w:lang w:val="fr-FR"/>
        </w:rPr>
        <w:t>RBI</w:t>
      </w:r>
      <w:r>
        <w:rPr>
          <w:bCs/>
          <w:color w:val="000000"/>
        </w:rPr>
        <w:t>软件(</w:t>
      </w:r>
      <w:r>
        <w:rPr>
          <w:rFonts w:hint="eastAsia"/>
          <w:bCs/>
          <w:color w:val="000000"/>
        </w:rPr>
        <w:t>通用石化装置工程风险分析系统</w:t>
      </w:r>
      <w:r>
        <w:rPr>
          <w:bCs/>
          <w:color w:val="000000"/>
        </w:rPr>
        <w:t>)，结合</w:t>
      </w:r>
      <w:r>
        <w:rPr>
          <w:rFonts w:hint="eastAsia"/>
          <w:bCs/>
          <w:color w:val="000000"/>
        </w:rPr>
        <w:t>国机特种设备检验有限公司</w:t>
      </w:r>
      <w:r>
        <w:rPr>
          <w:bCs/>
          <w:color w:val="000000"/>
        </w:rPr>
        <w:t>在设备检验检测方面的技术优势、丰富的检验数据以及对国内石化企业进行RBI工作所积累的经验来完成。</w:t>
      </w:r>
    </w:p>
    <w:p w14:paraId="49165F43">
      <w:pPr>
        <w:pStyle w:val="3"/>
        <w:spacing w:before="115" w:beforeLines="25" w:after="115" w:afterLines="25"/>
        <w:rPr>
          <w:szCs w:val="24"/>
        </w:rPr>
      </w:pPr>
      <w:bookmarkStart w:id="4" w:name="_Toc185152198"/>
      <w:r>
        <w:rPr>
          <w:rFonts w:hint="eastAsia"/>
          <w:szCs w:val="24"/>
        </w:rPr>
        <w:t>1</w:t>
      </w:r>
      <w:r>
        <w:rPr>
          <w:szCs w:val="24"/>
        </w:rPr>
        <w:t>.</w:t>
      </w:r>
      <w:r>
        <w:rPr>
          <w:rFonts w:hint="eastAsia"/>
          <w:szCs w:val="24"/>
        </w:rPr>
        <w:t>2</w:t>
      </w:r>
      <w:r>
        <w:rPr>
          <w:szCs w:val="24"/>
        </w:rPr>
        <w:tab/>
      </w:r>
      <w:r>
        <w:rPr>
          <w:rFonts w:hint="eastAsia"/>
          <w:szCs w:val="24"/>
        </w:rPr>
        <w:t>主要成果</w:t>
      </w:r>
      <w:bookmarkEnd w:id="4"/>
    </w:p>
    <w:p w14:paraId="7A5172CA">
      <w:pPr>
        <w:ind w:firstLine="480"/>
        <w:rPr>
          <w:bCs/>
          <w:color w:val="000000"/>
        </w:rPr>
      </w:pPr>
      <w:r>
        <w:rPr>
          <w:rFonts w:hint="eastAsia"/>
          <w:bCs/>
        </w:rPr>
        <w:t>自202</w:t>
      </w:r>
      <w:r>
        <w:rPr>
          <w:rFonts w:hint="eastAsia"/>
          <w:bCs/>
          <w:lang w:val="en-US" w:eastAsia="zh-CN"/>
        </w:rPr>
        <w:t>6</w:t>
      </w:r>
      <w:r>
        <w:rPr>
          <w:rFonts w:hint="eastAsia"/>
          <w:bCs/>
        </w:rPr>
        <w:t>年</w:t>
      </w:r>
      <w:r>
        <w:rPr>
          <w:rFonts w:hint="eastAsia"/>
          <w:bCs/>
          <w:lang w:val="en-US" w:eastAsia="zh-CN"/>
        </w:rPr>
        <w:t>1</w:t>
      </w:r>
      <w:r>
        <w:rPr>
          <w:rFonts w:hint="eastAsia"/>
          <w:bCs/>
        </w:rPr>
        <w:t>月起，国机特种设备检验有限公司对</w:t>
      </w:r>
      <w:r>
        <w:rPr>
          <w:rFonts w:hint="eastAsia"/>
          <w:bCs/>
          <w:lang w:val="en-US" w:eastAsia="zh-CN"/>
        </w:rPr>
        <w:t>大庆炼化190</w:t>
      </w:r>
      <w:r>
        <w:rPr>
          <w:rFonts w:hint="eastAsia"/>
          <w:bCs/>
          <w:color w:val="000000"/>
        </w:rPr>
        <w:t>台安全阀进行风险评估，经过风险评估得到：</w:t>
      </w:r>
    </w:p>
    <w:p w14:paraId="21ADAD57">
      <w:pPr>
        <w:ind w:firstLine="480"/>
        <w:rPr>
          <w:bCs/>
          <w:color w:val="000000"/>
        </w:rPr>
      </w:pPr>
      <w:r>
        <w:rPr>
          <w:rFonts w:hint="eastAsia"/>
          <w:bCs/>
          <w:color w:val="000000"/>
        </w:rPr>
        <w:t>1) 风险分布与统计。通过对</w:t>
      </w:r>
      <w:r>
        <w:rPr>
          <w:rFonts w:hint="eastAsia"/>
          <w:bCs/>
          <w:lang w:val="en-US" w:eastAsia="zh-CN"/>
        </w:rPr>
        <w:t>大庆炼化190</w:t>
      </w:r>
      <w:r>
        <w:rPr>
          <w:rFonts w:hint="eastAsia"/>
          <w:bCs/>
          <w:color w:val="000000"/>
        </w:rPr>
        <w:t>台安全阀进行风险计算，得到这些安全阀自最近一次校验后1-5年</w:t>
      </w:r>
      <w:r>
        <w:rPr>
          <w:rFonts w:hint="eastAsia"/>
          <w:bCs/>
        </w:rPr>
        <w:t>的风险分布情况与统计结果：</w:t>
      </w:r>
    </w:p>
    <w:tbl>
      <w:tblPr>
        <w:tblStyle w:val="3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109"/>
        <w:gridCol w:w="798"/>
        <w:gridCol w:w="1109"/>
        <w:gridCol w:w="911"/>
        <w:gridCol w:w="1109"/>
        <w:gridCol w:w="911"/>
        <w:gridCol w:w="1109"/>
        <w:gridCol w:w="914"/>
      </w:tblGrid>
      <w:tr w14:paraId="132A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vMerge w:val="restart"/>
            <w:shd w:val="clear" w:color="auto" w:fill="auto"/>
            <w:vAlign w:val="center"/>
          </w:tcPr>
          <w:p w14:paraId="1EDFA31F">
            <w:pPr>
              <w:jc w:val="center"/>
              <w:rPr>
                <w:bCs/>
              </w:rPr>
            </w:pPr>
            <w:r>
              <w:rPr>
                <w:rFonts w:hint="eastAsia"/>
                <w:bCs/>
              </w:rPr>
              <w:t>计算</w:t>
            </w:r>
          </w:p>
          <w:p w14:paraId="04819ECD">
            <w:pPr>
              <w:jc w:val="center"/>
              <w:rPr>
                <w:bCs/>
              </w:rPr>
            </w:pPr>
            <w:r>
              <w:rPr>
                <w:rFonts w:hint="eastAsia"/>
                <w:bCs/>
              </w:rPr>
              <w:t>年份</w:t>
            </w:r>
          </w:p>
        </w:tc>
        <w:tc>
          <w:tcPr>
            <w:tcW w:w="1059" w:type="pct"/>
            <w:gridSpan w:val="2"/>
            <w:shd w:val="clear" w:color="auto" w:fill="auto"/>
          </w:tcPr>
          <w:p w14:paraId="7BB5DD56">
            <w:pPr>
              <w:jc w:val="center"/>
              <w:rPr>
                <w:bCs/>
              </w:rPr>
            </w:pPr>
            <w:r>
              <w:rPr>
                <w:rFonts w:hint="eastAsia"/>
                <w:bCs/>
              </w:rPr>
              <w:t>高风险</w:t>
            </w:r>
          </w:p>
        </w:tc>
        <w:tc>
          <w:tcPr>
            <w:tcW w:w="1122" w:type="pct"/>
            <w:gridSpan w:val="2"/>
            <w:shd w:val="clear" w:color="auto" w:fill="auto"/>
          </w:tcPr>
          <w:p w14:paraId="0AF9154C">
            <w:pPr>
              <w:jc w:val="center"/>
              <w:rPr>
                <w:bCs/>
              </w:rPr>
            </w:pPr>
            <w:r>
              <w:rPr>
                <w:rFonts w:hint="eastAsia"/>
                <w:bCs/>
              </w:rPr>
              <w:t>中高风险</w:t>
            </w:r>
          </w:p>
        </w:tc>
        <w:tc>
          <w:tcPr>
            <w:tcW w:w="1122" w:type="pct"/>
            <w:gridSpan w:val="2"/>
            <w:shd w:val="clear" w:color="auto" w:fill="auto"/>
          </w:tcPr>
          <w:p w14:paraId="10B2AB33">
            <w:pPr>
              <w:jc w:val="center"/>
              <w:rPr>
                <w:bCs/>
              </w:rPr>
            </w:pPr>
            <w:r>
              <w:rPr>
                <w:rFonts w:hint="eastAsia"/>
                <w:bCs/>
              </w:rPr>
              <w:t>中风险</w:t>
            </w:r>
          </w:p>
        </w:tc>
        <w:tc>
          <w:tcPr>
            <w:tcW w:w="1123" w:type="pct"/>
            <w:gridSpan w:val="2"/>
            <w:shd w:val="clear" w:color="auto" w:fill="auto"/>
          </w:tcPr>
          <w:p w14:paraId="315E8BE9">
            <w:pPr>
              <w:jc w:val="center"/>
              <w:rPr>
                <w:bCs/>
              </w:rPr>
            </w:pPr>
            <w:r>
              <w:rPr>
                <w:rFonts w:hint="eastAsia"/>
                <w:bCs/>
              </w:rPr>
              <w:t>低风险</w:t>
            </w:r>
          </w:p>
        </w:tc>
      </w:tr>
      <w:tr w14:paraId="4859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vMerge w:val="continue"/>
            <w:shd w:val="clear" w:color="auto" w:fill="auto"/>
          </w:tcPr>
          <w:p w14:paraId="54582127">
            <w:pPr>
              <w:rPr>
                <w:bCs/>
              </w:rPr>
            </w:pPr>
          </w:p>
        </w:tc>
        <w:tc>
          <w:tcPr>
            <w:tcW w:w="616" w:type="pct"/>
            <w:shd w:val="clear" w:color="auto" w:fill="auto"/>
          </w:tcPr>
          <w:p w14:paraId="53FCBF31">
            <w:pPr>
              <w:jc w:val="center"/>
              <w:rPr>
                <w:bCs/>
              </w:rPr>
            </w:pPr>
            <w:r>
              <w:rPr>
                <w:rFonts w:hint="eastAsia"/>
                <w:bCs/>
              </w:rPr>
              <w:t>安全阀数量(台)</w:t>
            </w:r>
          </w:p>
        </w:tc>
        <w:tc>
          <w:tcPr>
            <w:tcW w:w="443" w:type="pct"/>
            <w:shd w:val="clear" w:color="auto" w:fill="auto"/>
          </w:tcPr>
          <w:p w14:paraId="223F9577">
            <w:pPr>
              <w:jc w:val="center"/>
              <w:rPr>
                <w:bCs/>
              </w:rPr>
            </w:pPr>
            <w:r>
              <w:rPr>
                <w:rFonts w:hint="eastAsia"/>
                <w:bCs/>
              </w:rPr>
              <w:t>所占比例</w:t>
            </w:r>
          </w:p>
        </w:tc>
        <w:tc>
          <w:tcPr>
            <w:tcW w:w="616" w:type="pct"/>
            <w:shd w:val="clear" w:color="auto" w:fill="auto"/>
          </w:tcPr>
          <w:p w14:paraId="7C55C7D3">
            <w:pPr>
              <w:jc w:val="center"/>
              <w:rPr>
                <w:bCs/>
              </w:rPr>
            </w:pPr>
            <w:r>
              <w:rPr>
                <w:rFonts w:hint="eastAsia"/>
                <w:bCs/>
              </w:rPr>
              <w:t>安全阀数量(台)</w:t>
            </w:r>
          </w:p>
        </w:tc>
        <w:tc>
          <w:tcPr>
            <w:tcW w:w="506" w:type="pct"/>
            <w:shd w:val="clear" w:color="auto" w:fill="auto"/>
          </w:tcPr>
          <w:p w14:paraId="01DFE271">
            <w:pPr>
              <w:jc w:val="center"/>
              <w:rPr>
                <w:bCs/>
              </w:rPr>
            </w:pPr>
            <w:r>
              <w:rPr>
                <w:rFonts w:hint="eastAsia"/>
                <w:bCs/>
              </w:rPr>
              <w:t>所占比例</w:t>
            </w:r>
          </w:p>
        </w:tc>
        <w:tc>
          <w:tcPr>
            <w:tcW w:w="616" w:type="pct"/>
            <w:shd w:val="clear" w:color="auto" w:fill="auto"/>
          </w:tcPr>
          <w:p w14:paraId="04FEB50A">
            <w:pPr>
              <w:jc w:val="center"/>
              <w:rPr>
                <w:bCs/>
              </w:rPr>
            </w:pPr>
            <w:r>
              <w:rPr>
                <w:rFonts w:hint="eastAsia"/>
                <w:bCs/>
              </w:rPr>
              <w:t>安全阀数量(台)</w:t>
            </w:r>
          </w:p>
        </w:tc>
        <w:tc>
          <w:tcPr>
            <w:tcW w:w="506" w:type="pct"/>
            <w:shd w:val="clear" w:color="auto" w:fill="auto"/>
          </w:tcPr>
          <w:p w14:paraId="3A73E5A7">
            <w:pPr>
              <w:jc w:val="center"/>
              <w:rPr>
                <w:bCs/>
              </w:rPr>
            </w:pPr>
            <w:r>
              <w:rPr>
                <w:rFonts w:hint="eastAsia"/>
                <w:bCs/>
              </w:rPr>
              <w:t>所占比例</w:t>
            </w:r>
          </w:p>
        </w:tc>
        <w:tc>
          <w:tcPr>
            <w:tcW w:w="616" w:type="pct"/>
            <w:shd w:val="clear" w:color="auto" w:fill="auto"/>
          </w:tcPr>
          <w:p w14:paraId="0B3DF7CD">
            <w:pPr>
              <w:jc w:val="center"/>
              <w:rPr>
                <w:bCs/>
              </w:rPr>
            </w:pPr>
            <w:r>
              <w:rPr>
                <w:rFonts w:hint="eastAsia"/>
                <w:bCs/>
              </w:rPr>
              <w:t>安全阀数量(台)</w:t>
            </w:r>
          </w:p>
        </w:tc>
        <w:tc>
          <w:tcPr>
            <w:tcW w:w="507" w:type="pct"/>
            <w:shd w:val="clear" w:color="auto" w:fill="auto"/>
          </w:tcPr>
          <w:p w14:paraId="63582A3E">
            <w:pPr>
              <w:jc w:val="center"/>
              <w:rPr>
                <w:bCs/>
              </w:rPr>
            </w:pPr>
            <w:r>
              <w:rPr>
                <w:rFonts w:hint="eastAsia"/>
                <w:bCs/>
              </w:rPr>
              <w:t>所占比例</w:t>
            </w:r>
          </w:p>
        </w:tc>
      </w:tr>
      <w:tr w14:paraId="3FCB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shd w:val="clear" w:color="auto" w:fill="auto"/>
          </w:tcPr>
          <w:p w14:paraId="2D33BBDC">
            <w:pPr>
              <w:jc w:val="center"/>
              <w:rPr>
                <w:bCs/>
              </w:rPr>
            </w:pPr>
            <w:r>
              <w:rPr>
                <w:rFonts w:hint="eastAsia"/>
                <w:bCs/>
              </w:rPr>
              <w:t>1年后</w:t>
            </w:r>
          </w:p>
        </w:tc>
        <w:tc>
          <w:tcPr>
            <w:tcW w:w="1109" w:type="dxa"/>
            <w:shd w:val="clear" w:color="auto" w:fill="auto"/>
            <w:vAlign w:val="center"/>
          </w:tcPr>
          <w:p w14:paraId="34BA9F45">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0</w:t>
            </w:r>
          </w:p>
        </w:tc>
        <w:tc>
          <w:tcPr>
            <w:tcW w:w="798" w:type="dxa"/>
            <w:shd w:val="clear" w:color="auto" w:fill="auto"/>
            <w:vAlign w:val="center"/>
          </w:tcPr>
          <w:p w14:paraId="767CE451">
            <w:pPr>
              <w:keepNext w:val="0"/>
              <w:keepLines w:val="0"/>
              <w:widowControl/>
              <w:suppressLineNumbers w:val="0"/>
              <w:jc w:val="center"/>
              <w:textAlignment w:val="center"/>
              <w:rPr>
                <w:rFonts w:hint="default" w:ascii="Arial Narrow" w:hAnsi="Arial Narrow" w:eastAsia="宋体" w:cs="Times New Roman"/>
                <w:bCs/>
                <w:kern w:val="2"/>
                <w:sz w:val="24"/>
                <w:szCs w:val="24"/>
                <w:lang w:val="en-US" w:eastAsia="zh-CN" w:bidi="ar-SA"/>
              </w:rPr>
            </w:pPr>
            <w:r>
              <w:rPr>
                <w:rFonts w:hint="default" w:ascii="Arial Narrow" w:hAnsi="Arial Narrow" w:eastAsia="Arial Narrow" w:cs="Arial Narrow"/>
                <w:i w:val="0"/>
                <w:iCs w:val="0"/>
                <w:color w:val="000000"/>
                <w:kern w:val="0"/>
                <w:sz w:val="24"/>
                <w:szCs w:val="24"/>
                <w:u w:val="none"/>
                <w:lang w:val="en-US" w:eastAsia="zh-CN" w:bidi="ar"/>
              </w:rPr>
              <w:t>0</w:t>
            </w:r>
          </w:p>
        </w:tc>
        <w:tc>
          <w:tcPr>
            <w:tcW w:w="1109" w:type="dxa"/>
            <w:shd w:val="clear" w:color="auto" w:fill="auto"/>
            <w:vAlign w:val="center"/>
          </w:tcPr>
          <w:p w14:paraId="304FF7DB">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94</w:t>
            </w:r>
          </w:p>
        </w:tc>
        <w:tc>
          <w:tcPr>
            <w:tcW w:w="911" w:type="dxa"/>
            <w:shd w:val="clear" w:color="auto" w:fill="auto"/>
            <w:vAlign w:val="center"/>
          </w:tcPr>
          <w:p w14:paraId="06E44CED">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49.47%</w:t>
            </w:r>
          </w:p>
        </w:tc>
        <w:tc>
          <w:tcPr>
            <w:tcW w:w="1109" w:type="dxa"/>
            <w:shd w:val="clear" w:color="auto" w:fill="auto"/>
            <w:vAlign w:val="center"/>
          </w:tcPr>
          <w:p w14:paraId="7F67D4B2">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53</w:t>
            </w:r>
          </w:p>
        </w:tc>
        <w:tc>
          <w:tcPr>
            <w:tcW w:w="911" w:type="dxa"/>
            <w:shd w:val="clear" w:color="auto" w:fill="auto"/>
            <w:vAlign w:val="center"/>
          </w:tcPr>
          <w:p w14:paraId="4D579E22">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27.89%</w:t>
            </w:r>
          </w:p>
        </w:tc>
        <w:tc>
          <w:tcPr>
            <w:tcW w:w="1109" w:type="dxa"/>
            <w:shd w:val="clear" w:color="auto" w:fill="auto"/>
            <w:vAlign w:val="center"/>
          </w:tcPr>
          <w:p w14:paraId="355A66BA">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43</w:t>
            </w:r>
          </w:p>
        </w:tc>
        <w:tc>
          <w:tcPr>
            <w:tcW w:w="914" w:type="dxa"/>
            <w:shd w:val="clear" w:color="auto" w:fill="auto"/>
            <w:vAlign w:val="center"/>
          </w:tcPr>
          <w:p w14:paraId="6823C862">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22.63%</w:t>
            </w:r>
          </w:p>
        </w:tc>
      </w:tr>
      <w:tr w14:paraId="7DEF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shd w:val="clear" w:color="auto" w:fill="auto"/>
          </w:tcPr>
          <w:p w14:paraId="720F03E4">
            <w:pPr>
              <w:jc w:val="center"/>
              <w:rPr>
                <w:bCs/>
              </w:rPr>
            </w:pPr>
            <w:r>
              <w:rPr>
                <w:rFonts w:hint="eastAsia"/>
                <w:bCs/>
              </w:rPr>
              <w:t>2年后</w:t>
            </w:r>
          </w:p>
        </w:tc>
        <w:tc>
          <w:tcPr>
            <w:tcW w:w="1109" w:type="dxa"/>
            <w:shd w:val="clear" w:color="auto" w:fill="auto"/>
            <w:vAlign w:val="center"/>
          </w:tcPr>
          <w:p w14:paraId="45153B49">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0</w:t>
            </w:r>
          </w:p>
        </w:tc>
        <w:tc>
          <w:tcPr>
            <w:tcW w:w="798" w:type="dxa"/>
            <w:shd w:val="clear" w:color="auto" w:fill="auto"/>
            <w:vAlign w:val="center"/>
          </w:tcPr>
          <w:p w14:paraId="5A904A4B">
            <w:pPr>
              <w:keepNext w:val="0"/>
              <w:keepLines w:val="0"/>
              <w:widowControl/>
              <w:suppressLineNumbers w:val="0"/>
              <w:jc w:val="center"/>
              <w:textAlignment w:val="center"/>
              <w:rPr>
                <w:rFonts w:hint="default" w:ascii="Arial Narrow" w:hAnsi="Arial Narrow" w:eastAsia="宋体" w:cs="Times New Roman"/>
                <w:bCs/>
                <w:kern w:val="2"/>
                <w:sz w:val="24"/>
                <w:szCs w:val="24"/>
                <w:lang w:val="en-US" w:eastAsia="zh-CN" w:bidi="ar-SA"/>
              </w:rPr>
            </w:pPr>
            <w:r>
              <w:rPr>
                <w:rFonts w:hint="default" w:ascii="Arial Narrow" w:hAnsi="Arial Narrow" w:eastAsia="Arial Narrow" w:cs="Arial Narrow"/>
                <w:i w:val="0"/>
                <w:iCs w:val="0"/>
                <w:color w:val="000000"/>
                <w:kern w:val="0"/>
                <w:sz w:val="24"/>
                <w:szCs w:val="24"/>
                <w:u w:val="none"/>
                <w:lang w:val="en-US" w:eastAsia="zh-CN" w:bidi="ar"/>
              </w:rPr>
              <w:t>0</w:t>
            </w:r>
          </w:p>
        </w:tc>
        <w:tc>
          <w:tcPr>
            <w:tcW w:w="1109" w:type="dxa"/>
            <w:shd w:val="clear" w:color="auto" w:fill="auto"/>
            <w:vAlign w:val="center"/>
          </w:tcPr>
          <w:p w14:paraId="6C7EF2DD">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94</w:t>
            </w:r>
          </w:p>
        </w:tc>
        <w:tc>
          <w:tcPr>
            <w:tcW w:w="911" w:type="dxa"/>
            <w:shd w:val="clear" w:color="auto" w:fill="auto"/>
            <w:vAlign w:val="center"/>
          </w:tcPr>
          <w:p w14:paraId="5D37FD66">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49.47%</w:t>
            </w:r>
          </w:p>
        </w:tc>
        <w:tc>
          <w:tcPr>
            <w:tcW w:w="1109" w:type="dxa"/>
            <w:shd w:val="clear" w:color="auto" w:fill="auto"/>
            <w:vAlign w:val="center"/>
          </w:tcPr>
          <w:p w14:paraId="4801084C">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53</w:t>
            </w:r>
          </w:p>
        </w:tc>
        <w:tc>
          <w:tcPr>
            <w:tcW w:w="911" w:type="dxa"/>
            <w:shd w:val="clear" w:color="auto" w:fill="auto"/>
            <w:vAlign w:val="center"/>
          </w:tcPr>
          <w:p w14:paraId="6AA82812">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27.89%</w:t>
            </w:r>
          </w:p>
        </w:tc>
        <w:tc>
          <w:tcPr>
            <w:tcW w:w="1109" w:type="dxa"/>
            <w:shd w:val="clear" w:color="auto" w:fill="auto"/>
            <w:vAlign w:val="center"/>
          </w:tcPr>
          <w:p w14:paraId="501619EC">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43</w:t>
            </w:r>
          </w:p>
        </w:tc>
        <w:tc>
          <w:tcPr>
            <w:tcW w:w="914" w:type="dxa"/>
            <w:shd w:val="clear" w:color="auto" w:fill="auto"/>
            <w:vAlign w:val="center"/>
          </w:tcPr>
          <w:p w14:paraId="7AED5556">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22.63%</w:t>
            </w:r>
          </w:p>
        </w:tc>
      </w:tr>
      <w:tr w14:paraId="546E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shd w:val="clear" w:color="auto" w:fill="auto"/>
          </w:tcPr>
          <w:p w14:paraId="72899892">
            <w:pPr>
              <w:jc w:val="center"/>
              <w:rPr>
                <w:bCs/>
              </w:rPr>
            </w:pPr>
            <w:r>
              <w:rPr>
                <w:rFonts w:hint="eastAsia"/>
                <w:bCs/>
              </w:rPr>
              <w:t>3年后</w:t>
            </w:r>
          </w:p>
        </w:tc>
        <w:tc>
          <w:tcPr>
            <w:tcW w:w="1109" w:type="dxa"/>
            <w:shd w:val="clear" w:color="auto" w:fill="auto"/>
            <w:vAlign w:val="center"/>
          </w:tcPr>
          <w:p w14:paraId="23AF1A24">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0</w:t>
            </w:r>
          </w:p>
        </w:tc>
        <w:tc>
          <w:tcPr>
            <w:tcW w:w="798" w:type="dxa"/>
            <w:shd w:val="clear" w:color="auto" w:fill="auto"/>
            <w:vAlign w:val="center"/>
          </w:tcPr>
          <w:p w14:paraId="0F8AAFB9">
            <w:pPr>
              <w:keepNext w:val="0"/>
              <w:keepLines w:val="0"/>
              <w:widowControl/>
              <w:suppressLineNumbers w:val="0"/>
              <w:jc w:val="center"/>
              <w:textAlignment w:val="center"/>
              <w:rPr>
                <w:rFonts w:hint="default" w:ascii="Arial Narrow" w:hAnsi="Arial Narrow" w:eastAsia="宋体" w:cs="Times New Roman"/>
                <w:bCs/>
                <w:kern w:val="2"/>
                <w:sz w:val="24"/>
                <w:szCs w:val="24"/>
                <w:lang w:val="en-US" w:eastAsia="zh-CN" w:bidi="ar-SA"/>
              </w:rPr>
            </w:pPr>
            <w:r>
              <w:rPr>
                <w:rFonts w:hint="default" w:ascii="Arial Narrow" w:hAnsi="Arial Narrow" w:eastAsia="Arial Narrow" w:cs="Arial Narrow"/>
                <w:i w:val="0"/>
                <w:iCs w:val="0"/>
                <w:color w:val="000000"/>
                <w:kern w:val="0"/>
                <w:sz w:val="24"/>
                <w:szCs w:val="24"/>
                <w:u w:val="none"/>
                <w:lang w:val="en-US" w:eastAsia="zh-CN" w:bidi="ar"/>
              </w:rPr>
              <w:t>0</w:t>
            </w:r>
          </w:p>
        </w:tc>
        <w:tc>
          <w:tcPr>
            <w:tcW w:w="1109" w:type="dxa"/>
            <w:shd w:val="clear" w:color="auto" w:fill="auto"/>
            <w:vAlign w:val="center"/>
          </w:tcPr>
          <w:p w14:paraId="5683FB1C">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94</w:t>
            </w:r>
          </w:p>
        </w:tc>
        <w:tc>
          <w:tcPr>
            <w:tcW w:w="911" w:type="dxa"/>
            <w:shd w:val="clear" w:color="auto" w:fill="auto"/>
            <w:vAlign w:val="center"/>
          </w:tcPr>
          <w:p w14:paraId="20455623">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49.47%</w:t>
            </w:r>
          </w:p>
        </w:tc>
        <w:tc>
          <w:tcPr>
            <w:tcW w:w="1109" w:type="dxa"/>
            <w:shd w:val="clear" w:color="auto" w:fill="auto"/>
            <w:vAlign w:val="center"/>
          </w:tcPr>
          <w:p w14:paraId="1F0644F3">
            <w:pPr>
              <w:keepNext w:val="0"/>
              <w:keepLines w:val="0"/>
              <w:widowControl/>
              <w:suppressLineNumbers w:val="0"/>
              <w:jc w:val="center"/>
              <w:textAlignment w:val="center"/>
              <w:rPr>
                <w:rFonts w:hint="eastAsia" w:eastAsia="宋体"/>
                <w:bCs/>
                <w:lang w:eastAsia="zh-CN"/>
              </w:rPr>
            </w:pPr>
            <w:r>
              <w:rPr>
                <w:rFonts w:hint="default" w:ascii="Arial Narrow" w:hAnsi="Arial Narrow" w:eastAsia="Arial Narrow" w:cs="Arial Narrow"/>
                <w:i w:val="0"/>
                <w:iCs w:val="0"/>
                <w:color w:val="000000"/>
                <w:kern w:val="0"/>
                <w:sz w:val="24"/>
                <w:szCs w:val="24"/>
                <w:u w:val="none"/>
                <w:lang w:val="en-US" w:eastAsia="zh-CN" w:bidi="ar"/>
              </w:rPr>
              <w:t>53</w:t>
            </w:r>
          </w:p>
        </w:tc>
        <w:tc>
          <w:tcPr>
            <w:tcW w:w="911" w:type="dxa"/>
            <w:shd w:val="clear" w:color="auto" w:fill="auto"/>
            <w:vAlign w:val="center"/>
          </w:tcPr>
          <w:p w14:paraId="4E8FD5A6">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27.89%</w:t>
            </w:r>
          </w:p>
        </w:tc>
        <w:tc>
          <w:tcPr>
            <w:tcW w:w="1109" w:type="dxa"/>
            <w:shd w:val="clear" w:color="auto" w:fill="auto"/>
            <w:vAlign w:val="center"/>
          </w:tcPr>
          <w:p w14:paraId="7F04240F">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43</w:t>
            </w:r>
          </w:p>
        </w:tc>
        <w:tc>
          <w:tcPr>
            <w:tcW w:w="914" w:type="dxa"/>
            <w:shd w:val="clear" w:color="auto" w:fill="auto"/>
            <w:vAlign w:val="center"/>
          </w:tcPr>
          <w:p w14:paraId="5CE83CB9">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22.63%</w:t>
            </w:r>
          </w:p>
        </w:tc>
      </w:tr>
      <w:tr w14:paraId="3F13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shd w:val="clear" w:color="auto" w:fill="auto"/>
          </w:tcPr>
          <w:p w14:paraId="2A71D353">
            <w:pPr>
              <w:jc w:val="center"/>
              <w:rPr>
                <w:bCs/>
              </w:rPr>
            </w:pPr>
            <w:r>
              <w:rPr>
                <w:rFonts w:hint="eastAsia"/>
                <w:bCs/>
              </w:rPr>
              <w:t>4年后</w:t>
            </w:r>
          </w:p>
        </w:tc>
        <w:tc>
          <w:tcPr>
            <w:tcW w:w="1109" w:type="dxa"/>
            <w:shd w:val="clear" w:color="auto" w:fill="auto"/>
            <w:vAlign w:val="center"/>
          </w:tcPr>
          <w:p w14:paraId="6BC4E1B4">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0</w:t>
            </w:r>
          </w:p>
        </w:tc>
        <w:tc>
          <w:tcPr>
            <w:tcW w:w="798" w:type="dxa"/>
            <w:shd w:val="clear" w:color="auto" w:fill="auto"/>
            <w:vAlign w:val="center"/>
          </w:tcPr>
          <w:p w14:paraId="7B13AC53">
            <w:pPr>
              <w:keepNext w:val="0"/>
              <w:keepLines w:val="0"/>
              <w:widowControl/>
              <w:suppressLineNumbers w:val="0"/>
              <w:jc w:val="center"/>
              <w:textAlignment w:val="center"/>
              <w:rPr>
                <w:rFonts w:hint="default" w:ascii="Arial Narrow" w:hAnsi="Arial Narrow" w:eastAsia="宋体" w:cs="Times New Roman"/>
                <w:bCs/>
                <w:kern w:val="2"/>
                <w:sz w:val="24"/>
                <w:szCs w:val="24"/>
                <w:lang w:val="en-US" w:eastAsia="zh-CN" w:bidi="ar-SA"/>
              </w:rPr>
            </w:pPr>
            <w:r>
              <w:rPr>
                <w:rFonts w:hint="default" w:ascii="Arial Narrow" w:hAnsi="Arial Narrow" w:eastAsia="Arial Narrow" w:cs="Arial Narrow"/>
                <w:i w:val="0"/>
                <w:iCs w:val="0"/>
                <w:color w:val="000000"/>
                <w:kern w:val="0"/>
                <w:sz w:val="24"/>
                <w:szCs w:val="24"/>
                <w:u w:val="none"/>
                <w:lang w:val="en-US" w:eastAsia="zh-CN" w:bidi="ar"/>
              </w:rPr>
              <w:t>0</w:t>
            </w:r>
          </w:p>
        </w:tc>
        <w:tc>
          <w:tcPr>
            <w:tcW w:w="1109" w:type="dxa"/>
            <w:shd w:val="clear" w:color="auto" w:fill="auto"/>
            <w:vAlign w:val="center"/>
          </w:tcPr>
          <w:p w14:paraId="3CC6E8C2">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94</w:t>
            </w:r>
          </w:p>
        </w:tc>
        <w:tc>
          <w:tcPr>
            <w:tcW w:w="911" w:type="dxa"/>
            <w:shd w:val="clear" w:color="auto" w:fill="auto"/>
            <w:vAlign w:val="center"/>
          </w:tcPr>
          <w:p w14:paraId="35DC3704">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49.47%</w:t>
            </w:r>
          </w:p>
        </w:tc>
        <w:tc>
          <w:tcPr>
            <w:tcW w:w="1109" w:type="dxa"/>
            <w:shd w:val="clear" w:color="auto" w:fill="auto"/>
            <w:vAlign w:val="center"/>
          </w:tcPr>
          <w:p w14:paraId="5C375471">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57</w:t>
            </w:r>
          </w:p>
        </w:tc>
        <w:tc>
          <w:tcPr>
            <w:tcW w:w="911" w:type="dxa"/>
            <w:shd w:val="clear" w:color="auto" w:fill="auto"/>
            <w:vAlign w:val="center"/>
          </w:tcPr>
          <w:p w14:paraId="51AF5189">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30.00%</w:t>
            </w:r>
          </w:p>
        </w:tc>
        <w:tc>
          <w:tcPr>
            <w:tcW w:w="1109" w:type="dxa"/>
            <w:shd w:val="clear" w:color="auto" w:fill="auto"/>
            <w:vAlign w:val="center"/>
          </w:tcPr>
          <w:p w14:paraId="4DD7D07B">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39</w:t>
            </w:r>
          </w:p>
        </w:tc>
        <w:tc>
          <w:tcPr>
            <w:tcW w:w="914" w:type="dxa"/>
            <w:shd w:val="clear" w:color="auto" w:fill="auto"/>
            <w:vAlign w:val="center"/>
          </w:tcPr>
          <w:p w14:paraId="6B65E51C">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20.53%</w:t>
            </w:r>
          </w:p>
        </w:tc>
      </w:tr>
      <w:tr w14:paraId="003E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pct"/>
            <w:shd w:val="clear" w:color="auto" w:fill="auto"/>
          </w:tcPr>
          <w:p w14:paraId="61D5F9DD">
            <w:pPr>
              <w:jc w:val="center"/>
              <w:rPr>
                <w:bCs/>
              </w:rPr>
            </w:pPr>
            <w:r>
              <w:rPr>
                <w:rFonts w:hint="eastAsia"/>
                <w:bCs/>
              </w:rPr>
              <w:t>5年后</w:t>
            </w:r>
          </w:p>
        </w:tc>
        <w:tc>
          <w:tcPr>
            <w:tcW w:w="1109" w:type="dxa"/>
            <w:shd w:val="clear" w:color="auto" w:fill="auto"/>
            <w:vAlign w:val="center"/>
          </w:tcPr>
          <w:p w14:paraId="68DF8805">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0</w:t>
            </w:r>
          </w:p>
        </w:tc>
        <w:tc>
          <w:tcPr>
            <w:tcW w:w="798" w:type="dxa"/>
            <w:shd w:val="clear" w:color="auto" w:fill="auto"/>
            <w:vAlign w:val="center"/>
          </w:tcPr>
          <w:p w14:paraId="627227DE">
            <w:pPr>
              <w:keepNext w:val="0"/>
              <w:keepLines w:val="0"/>
              <w:widowControl/>
              <w:suppressLineNumbers w:val="0"/>
              <w:jc w:val="center"/>
              <w:textAlignment w:val="center"/>
              <w:rPr>
                <w:rFonts w:hint="default" w:ascii="Arial Narrow" w:hAnsi="Arial Narrow" w:eastAsia="宋体" w:cs="Times New Roman"/>
                <w:bCs/>
                <w:kern w:val="2"/>
                <w:sz w:val="24"/>
                <w:szCs w:val="24"/>
                <w:lang w:val="en-US" w:eastAsia="zh-CN" w:bidi="ar-SA"/>
              </w:rPr>
            </w:pPr>
            <w:r>
              <w:rPr>
                <w:rFonts w:hint="default" w:ascii="Arial Narrow" w:hAnsi="Arial Narrow" w:eastAsia="Arial Narrow" w:cs="Arial Narrow"/>
                <w:i w:val="0"/>
                <w:iCs w:val="0"/>
                <w:color w:val="000000"/>
                <w:kern w:val="0"/>
                <w:sz w:val="24"/>
                <w:szCs w:val="24"/>
                <w:u w:val="none"/>
                <w:lang w:val="en-US" w:eastAsia="zh-CN" w:bidi="ar"/>
              </w:rPr>
              <w:t>0</w:t>
            </w:r>
          </w:p>
        </w:tc>
        <w:tc>
          <w:tcPr>
            <w:tcW w:w="1109" w:type="dxa"/>
            <w:shd w:val="clear" w:color="auto" w:fill="auto"/>
            <w:vAlign w:val="center"/>
          </w:tcPr>
          <w:p w14:paraId="507059BF">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96</w:t>
            </w:r>
          </w:p>
        </w:tc>
        <w:tc>
          <w:tcPr>
            <w:tcW w:w="911" w:type="dxa"/>
            <w:shd w:val="clear" w:color="auto" w:fill="auto"/>
            <w:vAlign w:val="center"/>
          </w:tcPr>
          <w:p w14:paraId="012FD606">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50.53%</w:t>
            </w:r>
          </w:p>
        </w:tc>
        <w:tc>
          <w:tcPr>
            <w:tcW w:w="1109" w:type="dxa"/>
            <w:shd w:val="clear" w:color="auto" w:fill="auto"/>
            <w:vAlign w:val="center"/>
          </w:tcPr>
          <w:p w14:paraId="23324B4B">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55</w:t>
            </w:r>
          </w:p>
        </w:tc>
        <w:tc>
          <w:tcPr>
            <w:tcW w:w="911" w:type="dxa"/>
            <w:shd w:val="clear" w:color="auto" w:fill="auto"/>
            <w:vAlign w:val="center"/>
          </w:tcPr>
          <w:p w14:paraId="5B7F4F0B">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28.95%</w:t>
            </w:r>
          </w:p>
        </w:tc>
        <w:tc>
          <w:tcPr>
            <w:tcW w:w="1109" w:type="dxa"/>
            <w:shd w:val="clear" w:color="auto" w:fill="auto"/>
            <w:vAlign w:val="center"/>
          </w:tcPr>
          <w:p w14:paraId="3E083353">
            <w:pPr>
              <w:keepNext w:val="0"/>
              <w:keepLines w:val="0"/>
              <w:widowControl/>
              <w:suppressLineNumbers w:val="0"/>
              <w:jc w:val="center"/>
              <w:textAlignment w:val="center"/>
              <w:rPr>
                <w:rFonts w:hint="default" w:eastAsia="宋体"/>
                <w:bCs/>
                <w:lang w:val="en-US" w:eastAsia="zh-CN"/>
              </w:rPr>
            </w:pPr>
            <w:r>
              <w:rPr>
                <w:rFonts w:hint="default" w:ascii="Arial Narrow" w:hAnsi="Arial Narrow" w:eastAsia="Arial Narrow" w:cs="Arial Narrow"/>
                <w:i w:val="0"/>
                <w:iCs w:val="0"/>
                <w:color w:val="000000"/>
                <w:kern w:val="0"/>
                <w:sz w:val="24"/>
                <w:szCs w:val="24"/>
                <w:u w:val="none"/>
                <w:lang w:val="en-US" w:eastAsia="zh-CN" w:bidi="ar"/>
              </w:rPr>
              <w:t>39</w:t>
            </w:r>
          </w:p>
        </w:tc>
        <w:tc>
          <w:tcPr>
            <w:tcW w:w="914" w:type="dxa"/>
            <w:shd w:val="clear" w:color="auto" w:fill="auto"/>
            <w:vAlign w:val="center"/>
          </w:tcPr>
          <w:p w14:paraId="5BA5BC89">
            <w:pPr>
              <w:keepNext w:val="0"/>
              <w:keepLines w:val="0"/>
              <w:widowControl/>
              <w:suppressLineNumbers w:val="0"/>
              <w:jc w:val="center"/>
              <w:textAlignment w:val="center"/>
              <w:rPr>
                <w:bCs/>
              </w:rPr>
            </w:pPr>
            <w:r>
              <w:rPr>
                <w:rFonts w:hint="default" w:ascii="Arial Narrow" w:hAnsi="Arial Narrow" w:eastAsia="Arial Narrow" w:cs="Arial Narrow"/>
                <w:i w:val="0"/>
                <w:iCs w:val="0"/>
                <w:color w:val="000000"/>
                <w:kern w:val="0"/>
                <w:sz w:val="24"/>
                <w:szCs w:val="24"/>
                <w:u w:val="none"/>
                <w:lang w:val="en-US" w:eastAsia="zh-CN" w:bidi="ar"/>
              </w:rPr>
              <w:t>20.53%</w:t>
            </w:r>
          </w:p>
        </w:tc>
      </w:tr>
    </w:tbl>
    <w:p w14:paraId="00BC3E28">
      <w:pPr>
        <w:ind w:firstLine="480"/>
        <w:rPr>
          <w:bCs/>
          <w:color w:val="000000"/>
        </w:rPr>
      </w:pPr>
      <w:r>
        <w:rPr>
          <w:rFonts w:hint="eastAsia"/>
          <w:bCs/>
          <w:color w:val="000000"/>
        </w:rPr>
        <w:t xml:space="preserve">2) </w:t>
      </w:r>
      <w:r>
        <w:rPr>
          <w:rFonts w:hint="eastAsia"/>
        </w:rPr>
        <w:t>安全阀失效模式主要有密封失效、不能及时开启、不能稳定及时地排放、排放后不能及时关闭和关闭后的密封失效；</w:t>
      </w:r>
    </w:p>
    <w:p w14:paraId="50A93935">
      <w:pPr>
        <w:ind w:firstLine="480"/>
        <w:rPr>
          <w:bCs/>
          <w:color w:val="000000"/>
        </w:rPr>
      </w:pPr>
      <w:r>
        <w:rPr>
          <w:rFonts w:hint="eastAsia"/>
          <w:bCs/>
          <w:color w:val="000000"/>
        </w:rPr>
        <w:t>3) 校验周期确定。本次所评</w:t>
      </w:r>
      <w:r>
        <w:rPr>
          <w:rFonts w:hint="eastAsia"/>
          <w:bCs/>
          <w:lang w:val="en-US" w:eastAsia="zh-CN"/>
        </w:rPr>
        <w:t>190</w:t>
      </w:r>
      <w:bookmarkStart w:id="67" w:name="_GoBack"/>
      <w:bookmarkEnd w:id="67"/>
      <w:r>
        <w:rPr>
          <w:rFonts w:hint="eastAsia"/>
          <w:bCs/>
          <w:color w:val="000000"/>
        </w:rPr>
        <w:t>台安全阀，其中</w:t>
      </w:r>
      <w:r>
        <w:rPr>
          <w:rFonts w:hint="eastAsia"/>
          <w:bCs/>
          <w:color w:val="000000"/>
          <w:lang w:val="en-US" w:eastAsia="zh-CN"/>
        </w:rPr>
        <w:t>31</w:t>
      </w:r>
      <w:r>
        <w:rPr>
          <w:rFonts w:hint="eastAsia"/>
          <w:bCs/>
        </w:rPr>
        <w:t>台安全阀需要在202</w:t>
      </w:r>
      <w:r>
        <w:rPr>
          <w:rFonts w:hint="eastAsia"/>
          <w:bCs/>
          <w:lang w:val="en-US" w:eastAsia="zh-CN"/>
        </w:rPr>
        <w:t>7</w:t>
      </w:r>
      <w:r>
        <w:rPr>
          <w:rFonts w:hint="eastAsia"/>
          <w:bCs/>
        </w:rPr>
        <w:t>年12月3</w:t>
      </w:r>
      <w:r>
        <w:rPr>
          <w:rFonts w:hint="eastAsia"/>
          <w:bCs/>
          <w:lang w:val="en-US" w:eastAsia="zh-CN"/>
        </w:rPr>
        <w:t>1</w:t>
      </w:r>
      <w:r>
        <w:rPr>
          <w:rFonts w:hint="eastAsia"/>
          <w:bCs/>
        </w:rPr>
        <w:t>日前进行校验，占已校验安全阀总数的</w:t>
      </w:r>
      <w:r>
        <w:rPr>
          <w:rFonts w:hint="eastAsia"/>
          <w:bCs/>
          <w:lang w:val="en-US" w:eastAsia="zh-CN"/>
        </w:rPr>
        <w:t>16.32</w:t>
      </w:r>
      <w:r>
        <w:rPr>
          <w:rFonts w:hint="eastAsia"/>
          <w:bCs/>
        </w:rPr>
        <w:t>%；</w:t>
      </w:r>
      <w:r>
        <w:rPr>
          <w:rFonts w:hint="eastAsia"/>
          <w:bCs/>
          <w:lang w:val="en-US" w:eastAsia="zh-CN"/>
        </w:rPr>
        <w:t>116</w:t>
      </w:r>
      <w:r>
        <w:rPr>
          <w:rFonts w:hint="eastAsia"/>
          <w:bCs/>
        </w:rPr>
        <w:t>台安全阀需要在202</w:t>
      </w:r>
      <w:r>
        <w:rPr>
          <w:rFonts w:hint="eastAsia"/>
          <w:bCs/>
          <w:lang w:val="en-US" w:eastAsia="zh-CN"/>
        </w:rPr>
        <w:t>8</w:t>
      </w:r>
      <w:r>
        <w:rPr>
          <w:rFonts w:hint="eastAsia"/>
          <w:bCs/>
        </w:rPr>
        <w:t>年12月3</w:t>
      </w:r>
      <w:r>
        <w:rPr>
          <w:rFonts w:hint="eastAsia"/>
          <w:bCs/>
          <w:lang w:val="en-US" w:eastAsia="zh-CN"/>
        </w:rPr>
        <w:t>1</w:t>
      </w:r>
      <w:r>
        <w:rPr>
          <w:rFonts w:hint="eastAsia"/>
          <w:bCs/>
        </w:rPr>
        <w:t>日前进行校验，占已校验安全阀总数的</w:t>
      </w:r>
      <w:r>
        <w:rPr>
          <w:rFonts w:hint="eastAsia"/>
          <w:bCs/>
          <w:lang w:val="en-US" w:eastAsia="zh-CN"/>
        </w:rPr>
        <w:t>61.05</w:t>
      </w:r>
      <w:r>
        <w:rPr>
          <w:rFonts w:hint="eastAsia"/>
          <w:bCs/>
        </w:rPr>
        <w:t>%；</w:t>
      </w:r>
      <w:r>
        <w:rPr>
          <w:rFonts w:hint="eastAsia"/>
          <w:bCs/>
          <w:lang w:val="en-US" w:eastAsia="zh-CN"/>
        </w:rPr>
        <w:t>43</w:t>
      </w:r>
      <w:r>
        <w:rPr>
          <w:rFonts w:hint="eastAsia"/>
          <w:bCs/>
        </w:rPr>
        <w:t>台安全阀需要在202</w:t>
      </w:r>
      <w:r>
        <w:rPr>
          <w:rFonts w:hint="eastAsia"/>
          <w:bCs/>
          <w:lang w:val="en-US" w:eastAsia="zh-CN"/>
        </w:rPr>
        <w:t>9</w:t>
      </w:r>
      <w:r>
        <w:rPr>
          <w:rFonts w:hint="eastAsia"/>
          <w:bCs/>
        </w:rPr>
        <w:t>年12月3</w:t>
      </w:r>
      <w:r>
        <w:rPr>
          <w:rFonts w:hint="eastAsia"/>
          <w:bCs/>
          <w:lang w:val="en-US" w:eastAsia="zh-CN"/>
        </w:rPr>
        <w:t>1</w:t>
      </w:r>
      <w:r>
        <w:rPr>
          <w:rFonts w:hint="eastAsia"/>
          <w:bCs/>
        </w:rPr>
        <w:t>日前进行校验，占已校验安全阀总数的</w:t>
      </w:r>
      <w:r>
        <w:rPr>
          <w:rFonts w:hint="eastAsia"/>
          <w:bCs/>
          <w:lang w:val="en-US" w:eastAsia="zh-CN"/>
        </w:rPr>
        <w:t>22.63</w:t>
      </w:r>
      <w:r>
        <w:rPr>
          <w:rFonts w:hint="eastAsia"/>
          <w:bCs/>
        </w:rPr>
        <w:t>%</w:t>
      </w:r>
      <w:r>
        <w:rPr>
          <w:rFonts w:hint="eastAsia"/>
          <w:bCs/>
          <w:color w:val="000000"/>
        </w:rPr>
        <w:t>。详见附录2。</w:t>
      </w:r>
    </w:p>
    <w:p w14:paraId="070482B5">
      <w:pPr>
        <w:ind w:firstLine="480"/>
        <w:rPr>
          <w:bCs/>
          <w:color w:val="000000"/>
        </w:rPr>
      </w:pPr>
      <w:r>
        <w:rPr>
          <w:rFonts w:hint="eastAsia"/>
          <w:color w:val="000000"/>
        </w:rPr>
        <w:t>其</w:t>
      </w:r>
      <w:r>
        <w:rPr>
          <w:rFonts w:hint="eastAsia"/>
          <w:color w:val="000000"/>
          <w:lang w:val="en-US" w:eastAsia="zh-CN"/>
        </w:rPr>
        <w:t>他</w:t>
      </w:r>
      <w:r>
        <w:rPr>
          <w:rFonts w:hint="eastAsia"/>
          <w:color w:val="000000"/>
        </w:rPr>
        <w:t>通过风险评估得到的结论，将在正文中逐一阐述。</w:t>
      </w:r>
    </w:p>
    <w:p w14:paraId="53170762">
      <w:pPr>
        <w:pStyle w:val="2"/>
        <w:tabs>
          <w:tab w:val="clear" w:pos="480"/>
        </w:tabs>
        <w:spacing w:before="0" w:beforeLines="0" w:after="230" w:afterLines="0"/>
        <w:rPr>
          <w:color w:val="000000"/>
          <w:kern w:val="2"/>
          <w:sz w:val="28"/>
        </w:rPr>
      </w:pPr>
      <w:bookmarkStart w:id="5" w:name="_Toc185152199"/>
      <w:bookmarkStart w:id="6" w:name="_Toc342396536"/>
      <w:bookmarkStart w:id="7" w:name="_Toc98261444"/>
      <w:bookmarkStart w:id="8" w:name="_Toc199041470"/>
      <w:r>
        <w:rPr>
          <w:kern w:val="2"/>
          <w:sz w:val="28"/>
        </w:rPr>
        <w:t>2.</w:t>
      </w:r>
      <w:r>
        <w:rPr>
          <w:kern w:val="2"/>
          <w:sz w:val="28"/>
        </w:rPr>
        <w:tab/>
      </w:r>
      <w:r>
        <w:rPr>
          <w:kern w:val="2"/>
          <w:sz w:val="28"/>
        </w:rPr>
        <w:t>RBI技术概述</w:t>
      </w:r>
      <w:bookmarkEnd w:id="5"/>
      <w:bookmarkEnd w:id="6"/>
      <w:bookmarkEnd w:id="7"/>
      <w:bookmarkEnd w:id="8"/>
    </w:p>
    <w:p w14:paraId="35832C32">
      <w:pPr>
        <w:ind w:firstLine="480" w:firstLineChars="200"/>
        <w:rPr>
          <w:bCs/>
          <w:color w:val="000000"/>
        </w:rPr>
      </w:pPr>
      <w:r>
        <w:rPr>
          <w:bCs/>
          <w:color w:val="000000"/>
        </w:rPr>
        <w:t>基于风险的检测(RBI)是一种追求系统安全性与经济性统一的理念与方法，它是在对系统中固有的或潜在的危险发生的可能性与后果进行科学分析的基础上，给出风险排序，找出薄弱环节，以确保本质安全和减少运行费用为目标，优化检验策略的一种管理方式。</w:t>
      </w:r>
    </w:p>
    <w:p w14:paraId="04433BBB">
      <w:pPr>
        <w:ind w:firstLine="480" w:firstLineChars="200"/>
        <w:rPr>
          <w:bCs/>
          <w:color w:val="000000"/>
          <w:vertAlign w:val="superscript"/>
        </w:rPr>
      </w:pPr>
      <w:r>
        <w:rPr>
          <w:bCs/>
          <w:color w:val="000000"/>
        </w:rPr>
        <w:t>上个世纪九十年代初期，欧美二十余家石化企业集团为了在安全的前提下降低运行成本，共同发起资助美国石油学会(API)开展RBI在石化企业(主要是树脂厂)的应用研究工作。</w:t>
      </w:r>
      <w:r>
        <w:rPr>
          <w:bCs/>
          <w:color w:val="000000"/>
          <w:lang w:val="fr-FR"/>
        </w:rPr>
        <w:t>1996</w:t>
      </w:r>
      <w:r>
        <w:rPr>
          <w:bCs/>
          <w:color w:val="000000"/>
        </w:rPr>
        <w:t>年</w:t>
      </w:r>
      <w:r>
        <w:rPr>
          <w:bCs/>
          <w:color w:val="000000"/>
          <w:lang w:val="fr-FR"/>
        </w:rPr>
        <w:t>API</w:t>
      </w:r>
      <w:r>
        <w:rPr>
          <w:bCs/>
          <w:color w:val="000000"/>
        </w:rPr>
        <w:t>公布了RBI基本资源文件</w:t>
      </w:r>
      <w:r>
        <w:rPr>
          <w:bCs/>
          <w:color w:val="000000"/>
          <w:lang w:val="fr-FR"/>
        </w:rPr>
        <w:t>API BRD 581</w:t>
      </w:r>
      <w:r>
        <w:rPr>
          <w:bCs/>
          <w:color w:val="000000"/>
        </w:rPr>
        <w:t>的草案，</w:t>
      </w:r>
      <w:r>
        <w:rPr>
          <w:bCs/>
          <w:color w:val="000000"/>
          <w:lang w:val="fr-FR"/>
        </w:rPr>
        <w:t>2000</w:t>
      </w:r>
      <w:r>
        <w:rPr>
          <w:bCs/>
          <w:color w:val="000000"/>
        </w:rPr>
        <w:t>年</w:t>
      </w:r>
      <w:r>
        <w:rPr>
          <w:bCs/>
          <w:color w:val="000000"/>
          <w:lang w:val="fr-FR"/>
        </w:rPr>
        <w:t>5</w:t>
      </w:r>
      <w:r>
        <w:rPr>
          <w:bCs/>
          <w:color w:val="000000"/>
        </w:rPr>
        <w:t>月又公布</w:t>
      </w:r>
      <w:r>
        <w:rPr>
          <w:bCs/>
          <w:color w:val="000000"/>
          <w:lang w:val="fr-FR"/>
        </w:rPr>
        <w:t>API 581</w:t>
      </w:r>
      <w:r>
        <w:rPr>
          <w:bCs/>
          <w:color w:val="000000"/>
        </w:rPr>
        <w:t>正式文件。</w:t>
      </w:r>
      <w:r>
        <w:rPr>
          <w:bCs/>
          <w:color w:val="000000"/>
          <w:lang w:val="fr-FR"/>
        </w:rPr>
        <w:t>2002</w:t>
      </w:r>
      <w:r>
        <w:rPr>
          <w:bCs/>
          <w:color w:val="000000"/>
        </w:rPr>
        <w:t>年</w:t>
      </w:r>
      <w:r>
        <w:rPr>
          <w:bCs/>
          <w:color w:val="000000"/>
          <w:lang w:val="fr-FR"/>
        </w:rPr>
        <w:t>5</w:t>
      </w:r>
      <w:r>
        <w:rPr>
          <w:bCs/>
          <w:color w:val="000000"/>
        </w:rPr>
        <w:t>月正式颁布了</w:t>
      </w:r>
      <w:r>
        <w:rPr>
          <w:bCs/>
          <w:color w:val="000000"/>
          <w:lang w:val="fr-FR"/>
        </w:rPr>
        <w:t>RBI</w:t>
      </w:r>
      <w:r>
        <w:rPr>
          <w:bCs/>
          <w:color w:val="000000"/>
        </w:rPr>
        <w:t>标准</w:t>
      </w:r>
      <w:r>
        <w:rPr>
          <w:bCs/>
          <w:color w:val="000000"/>
          <w:lang w:val="fr-FR"/>
        </w:rPr>
        <w:t>API RP 580</w:t>
      </w:r>
      <w:r>
        <w:rPr>
          <w:bCs/>
          <w:color w:val="000000"/>
        </w:rPr>
        <w:t>。十多年来，西方发达国家甚至亚洲的韩国、新加坡等国家和地区的石化树脂厂广泛应用了RBI方法进行成套装置中的承压设备的检验与维修，使得风险和检验维修费用都大幅度下降。</w:t>
      </w:r>
    </w:p>
    <w:p w14:paraId="225725F0">
      <w:pPr>
        <w:ind w:firstLine="480" w:firstLineChars="200"/>
        <w:rPr>
          <w:color w:val="000000"/>
        </w:rPr>
      </w:pPr>
      <w:r>
        <w:rPr>
          <w:bCs/>
          <w:color w:val="000000"/>
        </w:rPr>
        <w:t>自上世纪末期中国有关高校与研究机构引入RBI概念，近年来，国家科技部及中石油、中石化也设立多项科研项目支持这项工作。</w:t>
      </w:r>
      <w:r>
        <w:rPr>
          <w:color w:val="000000"/>
        </w:rPr>
        <w:t>合肥通用机械研究</w:t>
      </w:r>
      <w:r>
        <w:rPr>
          <w:rFonts w:hint="eastAsia"/>
          <w:color w:val="000000"/>
        </w:rPr>
        <w:t>院特种设备</w:t>
      </w:r>
      <w:r>
        <w:rPr>
          <w:bCs/>
          <w:color w:val="000000"/>
        </w:rPr>
        <w:t>检验站</w:t>
      </w:r>
      <w:r>
        <w:rPr>
          <w:color w:val="000000"/>
        </w:rPr>
        <w:t>等单位已成功地将该技术应用到我国石化装置承压设备的风险评估中，并于2003年开始陆续</w:t>
      </w:r>
      <w:r>
        <w:rPr>
          <w:rFonts w:hint="eastAsia"/>
          <w:bCs/>
        </w:rPr>
        <w:t>在茂名石化、大连西太平洋石化、大庆石化、抚顺石化、大连石化、独山子石化、齐鲁石化、扬子石化、福建炼化等石化企业</w:t>
      </w:r>
      <w:r>
        <w:rPr>
          <w:rFonts w:hint="eastAsia"/>
        </w:rPr>
        <w:t>进行了两千余套石化装置风险评估</w:t>
      </w:r>
      <w:r>
        <w:rPr>
          <w:color w:val="000000"/>
        </w:rPr>
        <w:t>工作。目前中石油、中石化有</w:t>
      </w:r>
      <w:r>
        <w:rPr>
          <w:rFonts w:hint="eastAsia"/>
          <w:color w:val="000000"/>
        </w:rPr>
        <w:t>四</w:t>
      </w:r>
      <w:r>
        <w:rPr>
          <w:color w:val="000000"/>
        </w:rPr>
        <w:t>十余家企业正在开展此项工作。</w:t>
      </w:r>
    </w:p>
    <w:p w14:paraId="04573A17">
      <w:pPr>
        <w:pStyle w:val="2"/>
        <w:tabs>
          <w:tab w:val="left" w:pos="340"/>
          <w:tab w:val="clear" w:pos="480"/>
        </w:tabs>
        <w:spacing w:before="230" w:beforeLines="0" w:after="230" w:afterLines="0"/>
        <w:rPr>
          <w:color w:val="000000"/>
          <w:kern w:val="2"/>
          <w:sz w:val="28"/>
        </w:rPr>
      </w:pPr>
      <w:bookmarkStart w:id="9" w:name="_Toc330146586"/>
      <w:bookmarkStart w:id="10" w:name="_Toc185152200"/>
      <w:bookmarkStart w:id="11" w:name="_Toc98261450"/>
      <w:bookmarkStart w:id="12" w:name="_Toc347251843"/>
      <w:r>
        <w:rPr>
          <w:rFonts w:hint="eastAsia"/>
          <w:color w:val="000000"/>
          <w:kern w:val="2"/>
          <w:sz w:val="28"/>
        </w:rPr>
        <w:t>3</w:t>
      </w:r>
      <w:r>
        <w:rPr>
          <w:color w:val="000000"/>
          <w:kern w:val="2"/>
          <w:sz w:val="28"/>
        </w:rPr>
        <w:t>.</w:t>
      </w:r>
      <w:r>
        <w:rPr>
          <w:color w:val="000000"/>
          <w:kern w:val="2"/>
          <w:sz w:val="28"/>
        </w:rPr>
        <w:tab/>
      </w:r>
      <w:r>
        <w:rPr>
          <w:color w:val="000000"/>
          <w:kern w:val="2"/>
          <w:sz w:val="28"/>
        </w:rPr>
        <w:t>项目实施执行或参照的标准、法规和资料</w:t>
      </w:r>
      <w:bookmarkEnd w:id="9"/>
      <w:bookmarkEnd w:id="10"/>
      <w:bookmarkEnd w:id="11"/>
      <w:bookmarkEnd w:id="12"/>
    </w:p>
    <w:p w14:paraId="215C25ED">
      <w:pPr>
        <w:pStyle w:val="10"/>
        <w:numPr>
          <w:ilvl w:val="0"/>
          <w:numId w:val="1"/>
        </w:numPr>
        <w:tabs>
          <w:tab w:val="left" w:pos="960"/>
        </w:tabs>
        <w:ind w:left="480" w:firstLine="10"/>
        <w:rPr>
          <w:rFonts w:cs="Tahoma"/>
        </w:rPr>
      </w:pPr>
      <w:bookmarkStart w:id="13" w:name="_Toc98261451"/>
      <w:r>
        <w:rPr>
          <w:rFonts w:hint="eastAsia" w:cs="Tahoma"/>
          <w:lang w:val="fr-FR"/>
        </w:rPr>
        <w:t>《中华人民共和国特种设备安全法》</w:t>
      </w:r>
    </w:p>
    <w:p w14:paraId="6727B6F5">
      <w:pPr>
        <w:pStyle w:val="10"/>
        <w:numPr>
          <w:ilvl w:val="0"/>
          <w:numId w:val="1"/>
        </w:numPr>
        <w:tabs>
          <w:tab w:val="left" w:pos="960"/>
        </w:tabs>
        <w:ind w:left="480" w:firstLine="10"/>
        <w:rPr>
          <w:rFonts w:cs="Tahoma"/>
        </w:rPr>
      </w:pPr>
      <w:r>
        <w:rPr>
          <w:rFonts w:hint="eastAsia" w:cs="Tahoma"/>
          <w:lang w:val="fr-FR"/>
        </w:rPr>
        <w:t>《特种设备安全监察条例》</w:t>
      </w:r>
    </w:p>
    <w:p w14:paraId="79A2C83E">
      <w:pPr>
        <w:pStyle w:val="10"/>
        <w:numPr>
          <w:ilvl w:val="0"/>
          <w:numId w:val="1"/>
        </w:numPr>
        <w:tabs>
          <w:tab w:val="left" w:pos="960"/>
        </w:tabs>
        <w:ind w:left="480" w:firstLine="10"/>
        <w:rPr>
          <w:rFonts w:cs="Tahoma"/>
        </w:rPr>
      </w:pPr>
      <w:r>
        <w:rPr>
          <w:rFonts w:cs="Tahoma"/>
        </w:rPr>
        <w:t>TSG 21-2016</w:t>
      </w:r>
      <w:r>
        <w:rPr>
          <w:rFonts w:cs="Tahoma"/>
          <w:lang w:eastAsia="zh-CN"/>
        </w:rPr>
        <w:t xml:space="preserve"> </w:t>
      </w:r>
      <w:r>
        <w:rPr>
          <w:rFonts w:hint="eastAsia" w:cs="Tahoma"/>
          <w:lang w:val="fr-FR"/>
        </w:rPr>
        <w:t>《固定式压力容器安全技术监察规程》</w:t>
      </w:r>
    </w:p>
    <w:p w14:paraId="74E8DA4C">
      <w:pPr>
        <w:pStyle w:val="10"/>
        <w:numPr>
          <w:ilvl w:val="0"/>
          <w:numId w:val="1"/>
        </w:numPr>
        <w:tabs>
          <w:tab w:val="left" w:pos="960"/>
        </w:tabs>
        <w:ind w:left="480" w:firstLine="10"/>
        <w:rPr>
          <w:rFonts w:cs="Tahoma"/>
        </w:rPr>
      </w:pPr>
      <w:r>
        <w:rPr>
          <w:rFonts w:cs="Tahoma"/>
        </w:rPr>
        <w:t>TSG ZF00</w:t>
      </w:r>
      <w:r>
        <w:rPr>
          <w:rFonts w:cs="Tahoma"/>
          <w:lang w:eastAsia="zh-CN"/>
        </w:rPr>
        <w:t>1</w:t>
      </w:r>
      <w:r>
        <w:rPr>
          <w:rFonts w:cs="Tahoma"/>
        </w:rPr>
        <w:t>-2006</w:t>
      </w:r>
      <w:r>
        <w:rPr>
          <w:rFonts w:cs="Tahoma"/>
          <w:lang w:eastAsia="zh-CN"/>
        </w:rPr>
        <w:t xml:space="preserve"> </w:t>
      </w:r>
      <w:r>
        <w:rPr>
          <w:rFonts w:hint="eastAsia" w:cs="Tahoma"/>
          <w:lang w:val="fr-FR"/>
        </w:rPr>
        <w:t>《安全阀安全技术监察规程》</w:t>
      </w:r>
    </w:p>
    <w:p w14:paraId="240B857B">
      <w:pPr>
        <w:pStyle w:val="10"/>
        <w:numPr>
          <w:ilvl w:val="0"/>
          <w:numId w:val="1"/>
        </w:numPr>
        <w:tabs>
          <w:tab w:val="left" w:pos="960"/>
        </w:tabs>
        <w:ind w:left="480" w:firstLine="10"/>
        <w:rPr>
          <w:rFonts w:cs="Tahoma"/>
        </w:rPr>
      </w:pPr>
      <w:r>
        <w:rPr>
          <w:rFonts w:cs="Tahoma"/>
        </w:rPr>
        <w:t>API 580</w:t>
      </w:r>
      <w:r>
        <w:rPr>
          <w:rFonts w:hint="eastAsia" w:cs="Tahoma"/>
          <w:lang w:val="fr-FR"/>
        </w:rPr>
        <w:t>《</w:t>
      </w:r>
      <w:r>
        <w:rPr>
          <w:rFonts w:cs="Tahoma"/>
        </w:rPr>
        <w:t>Risk-Based Inspection</w:t>
      </w:r>
      <w:r>
        <w:rPr>
          <w:rFonts w:hint="eastAsia" w:cs="Tahoma"/>
          <w:lang w:val="fr-FR"/>
        </w:rPr>
        <w:t>》</w:t>
      </w:r>
    </w:p>
    <w:p w14:paraId="690C7A80">
      <w:pPr>
        <w:pStyle w:val="10"/>
        <w:numPr>
          <w:ilvl w:val="0"/>
          <w:numId w:val="1"/>
        </w:numPr>
        <w:tabs>
          <w:tab w:val="left" w:pos="960"/>
        </w:tabs>
        <w:ind w:left="480" w:firstLine="10"/>
        <w:rPr>
          <w:rFonts w:cs="Tahoma"/>
        </w:rPr>
      </w:pPr>
      <w:r>
        <w:rPr>
          <w:rFonts w:cs="Tahoma"/>
        </w:rPr>
        <w:t>API 581</w:t>
      </w:r>
      <w:r>
        <w:rPr>
          <w:rFonts w:hint="eastAsia" w:cs="Tahoma"/>
          <w:lang w:val="fr-FR"/>
        </w:rPr>
        <w:t>《</w:t>
      </w:r>
      <w:r>
        <w:rPr>
          <w:rFonts w:cs="Tahoma"/>
        </w:rPr>
        <w:t>Risk-Based Inspection Technology</w:t>
      </w:r>
      <w:r>
        <w:rPr>
          <w:rFonts w:hint="eastAsia" w:cs="Tahoma"/>
          <w:lang w:val="fr-FR"/>
        </w:rPr>
        <w:t>》</w:t>
      </w:r>
    </w:p>
    <w:p w14:paraId="1EC470E5">
      <w:pPr>
        <w:pStyle w:val="10"/>
        <w:numPr>
          <w:ilvl w:val="0"/>
          <w:numId w:val="1"/>
        </w:numPr>
        <w:tabs>
          <w:tab w:val="left" w:pos="960"/>
        </w:tabs>
        <w:ind w:left="480" w:firstLine="10"/>
        <w:rPr>
          <w:rFonts w:cs="Tahoma"/>
        </w:rPr>
      </w:pPr>
      <w:r>
        <w:rPr>
          <w:rFonts w:hint="eastAsia" w:cs="Tahoma"/>
        </w:rPr>
        <w:t>GB/T 26610.1-5 承压设备系统基于风险的检验系列标准</w:t>
      </w:r>
    </w:p>
    <w:p w14:paraId="712BC659">
      <w:pPr>
        <w:pStyle w:val="10"/>
        <w:numPr>
          <w:ilvl w:val="0"/>
          <w:numId w:val="1"/>
        </w:numPr>
        <w:tabs>
          <w:tab w:val="left" w:pos="960"/>
        </w:tabs>
        <w:ind w:left="480" w:firstLine="10"/>
        <w:rPr>
          <w:rFonts w:cs="Tahoma"/>
        </w:rPr>
      </w:pPr>
      <w:r>
        <w:rPr>
          <w:rFonts w:hint="eastAsia" w:cs="Tahoma"/>
          <w:lang w:eastAsia="zh-CN"/>
        </w:rPr>
        <w:t>合肥通用院</w:t>
      </w:r>
      <w:r>
        <w:rPr>
          <w:rFonts w:hint="eastAsia" w:cs="Tahoma"/>
          <w:lang w:val="fr-FR"/>
        </w:rPr>
        <w:t>专利技术：承压设备风险评价中以剩余寿命为表征参量的失效概率评价方法，专利号为：</w:t>
      </w:r>
      <w:r>
        <w:rPr>
          <w:rFonts w:cs="Tahoma"/>
        </w:rPr>
        <w:t>200610039771.7</w:t>
      </w:r>
      <w:r>
        <w:rPr>
          <w:rFonts w:hint="eastAsia" w:cs="Tahoma"/>
          <w:lang w:eastAsia="zh-CN"/>
        </w:rPr>
        <w:t>；</w:t>
      </w:r>
    </w:p>
    <w:p w14:paraId="37653746">
      <w:pPr>
        <w:pStyle w:val="10"/>
        <w:numPr>
          <w:ilvl w:val="0"/>
          <w:numId w:val="1"/>
        </w:numPr>
        <w:tabs>
          <w:tab w:val="left" w:pos="960"/>
        </w:tabs>
        <w:ind w:left="480" w:firstLine="10"/>
        <w:rPr>
          <w:rFonts w:cs="Tahoma"/>
        </w:rPr>
      </w:pPr>
      <w:r>
        <w:rPr>
          <w:rFonts w:hint="eastAsia"/>
          <w:color w:val="000000"/>
          <w:lang w:val="fr-FR"/>
        </w:rPr>
        <w:t>装置设计、制造、安装、检验、运行记录等有关资料</w:t>
      </w:r>
      <w:r>
        <w:rPr>
          <w:rFonts w:hint="eastAsia"/>
          <w:color w:val="000000"/>
          <w:lang w:eastAsia="zh-CN"/>
        </w:rPr>
        <w:t>；</w:t>
      </w:r>
    </w:p>
    <w:p w14:paraId="4106447B">
      <w:pPr>
        <w:pStyle w:val="10"/>
        <w:numPr>
          <w:ilvl w:val="0"/>
          <w:numId w:val="1"/>
        </w:numPr>
        <w:tabs>
          <w:tab w:val="left" w:pos="960"/>
        </w:tabs>
        <w:ind w:left="480" w:firstLine="10"/>
        <w:rPr>
          <w:color w:val="000000"/>
        </w:rPr>
      </w:pPr>
      <w:r>
        <w:rPr>
          <w:rFonts w:hint="eastAsia"/>
          <w:color w:val="000000"/>
          <w:lang w:val="fr-FR"/>
        </w:rPr>
        <w:t>装置安全阀台账。</w:t>
      </w:r>
    </w:p>
    <w:bookmarkEnd w:id="13"/>
    <w:p w14:paraId="287E0A89">
      <w:pPr>
        <w:pStyle w:val="2"/>
        <w:tabs>
          <w:tab w:val="left" w:pos="340"/>
          <w:tab w:val="clear" w:pos="480"/>
        </w:tabs>
        <w:spacing w:before="230" w:beforeLines="0" w:after="230" w:afterLines="0"/>
        <w:rPr>
          <w:color w:val="000000"/>
          <w:kern w:val="2"/>
          <w:sz w:val="28"/>
        </w:rPr>
      </w:pPr>
      <w:bookmarkStart w:id="14" w:name="_Toc185152201"/>
      <w:r>
        <w:rPr>
          <w:rFonts w:hint="eastAsia"/>
          <w:color w:val="000000"/>
          <w:kern w:val="2"/>
          <w:sz w:val="28"/>
        </w:rPr>
        <w:t>4</w:t>
      </w:r>
      <w:r>
        <w:rPr>
          <w:color w:val="000000"/>
          <w:kern w:val="2"/>
          <w:sz w:val="28"/>
        </w:rPr>
        <w:t>.</w:t>
      </w:r>
      <w:r>
        <w:rPr>
          <w:color w:val="000000"/>
          <w:kern w:val="2"/>
          <w:sz w:val="28"/>
        </w:rPr>
        <w:tab/>
      </w:r>
      <w:r>
        <w:rPr>
          <w:rFonts w:hint="eastAsia"/>
          <w:color w:val="000000"/>
          <w:kern w:val="2"/>
          <w:sz w:val="28"/>
        </w:rPr>
        <w:t>安全阀的RBI评估</w:t>
      </w:r>
      <w:bookmarkEnd w:id="14"/>
    </w:p>
    <w:p w14:paraId="0666FA2C">
      <w:pPr>
        <w:pStyle w:val="3"/>
        <w:spacing w:before="115" w:beforeLines="25" w:after="115" w:afterLines="25"/>
      </w:pPr>
      <w:bookmarkStart w:id="15" w:name="_Toc185152202"/>
      <w:bookmarkStart w:id="16" w:name="_Toc384026320"/>
      <w:bookmarkStart w:id="17" w:name="_Toc401297815"/>
      <w:bookmarkStart w:id="18" w:name="_Toc287952889"/>
      <w:r>
        <w:t>4.1</w:t>
      </w:r>
      <w:r>
        <w:rPr>
          <w:rFonts w:hint="eastAsia"/>
        </w:rPr>
        <w:t xml:space="preserve"> 安全阀失效模式</w:t>
      </w:r>
      <w:r>
        <w:t>分析</w:t>
      </w:r>
      <w:bookmarkEnd w:id="15"/>
    </w:p>
    <w:p w14:paraId="379819A4">
      <w:pPr>
        <w:ind w:firstLine="480" w:firstLineChars="200"/>
      </w:pPr>
      <w:r>
        <w:rPr>
          <w:rFonts w:hint="eastAsia"/>
        </w:rPr>
        <w:t>安全阀作为承压设备的超压保护装置，在使用中必须满足准确开启、稳定排放、及时关闭、密封可靠的要求。安全阀在使用过程中，除安全阀频跳是由于安全阀进口管路过长、管路存在节流物或安全阀调节圈调整不当引起的外，介质温度、压力、物性对安全阀的准确开启、及时关闭、可靠密封产生影响，造成安全阀使用一段时间后性能达不到要求，导致安全阀失效。</w:t>
      </w:r>
    </w:p>
    <w:p w14:paraId="611C7022">
      <w:pPr>
        <w:ind w:firstLine="480" w:firstLineChars="200"/>
      </w:pPr>
      <w:r>
        <w:rPr>
          <w:rFonts w:hint="eastAsia"/>
        </w:rPr>
        <w:t>从安全阀开启准确性方面来看，安全阀在使用中，存在着三种可能的失效模式：</w:t>
      </w:r>
    </w:p>
    <w:p w14:paraId="1B06B41A">
      <w:pPr>
        <w:ind w:firstLine="480" w:firstLineChars="200"/>
      </w:pPr>
      <w:r>
        <w:rPr>
          <w:rFonts w:hint="eastAsia"/>
        </w:rPr>
        <w:t>（1）安全阀由于运动件粘死，或进出腔堵塞无法开启；</w:t>
      </w:r>
    </w:p>
    <w:p w14:paraId="6B380490">
      <w:pPr>
        <w:ind w:firstLine="480" w:firstLineChars="200"/>
      </w:pPr>
      <w:r>
        <w:rPr>
          <w:rFonts w:hint="eastAsia"/>
        </w:rPr>
        <w:t>（2）安全阀超压开启——介质压力达到安全阀整定压力而安全阀未开启，超过整定压力一定值后才开启；</w:t>
      </w:r>
    </w:p>
    <w:p w14:paraId="5F13EE37">
      <w:pPr>
        <w:ind w:left="480" w:leftChars="200"/>
      </w:pPr>
      <w:r>
        <w:rPr>
          <w:rFonts w:hint="eastAsia"/>
        </w:rPr>
        <w:t>（3）安全阀提前开启——安全阀开启压力低于整定压力。</w:t>
      </w:r>
    </w:p>
    <w:p w14:paraId="1AA68F05">
      <w:r>
        <w:rPr>
          <w:rFonts w:hint="eastAsia"/>
        </w:rPr>
        <w:t xml:space="preserve">    从安全阀稳定排放方面来看，对于前后配管不合适，或安全阀调节圈调整有误的安全阀存在着动作时频跳这种失效模式。</w:t>
      </w:r>
    </w:p>
    <w:p w14:paraId="02C980E5">
      <w:pPr>
        <w:ind w:firstLine="480" w:firstLineChars="200"/>
      </w:pPr>
      <w:r>
        <w:rPr>
          <w:rFonts w:hint="eastAsia"/>
        </w:rPr>
        <w:t>从安全阀动作后及时关闭性能来看，安全阀存在着弹簧断裂，不能回座这一失效模式。</w:t>
      </w:r>
    </w:p>
    <w:p w14:paraId="07628F03">
      <w:r>
        <w:rPr>
          <w:rFonts w:hint="eastAsia"/>
        </w:rPr>
        <w:t xml:space="preserve">    从安全阀可靠密封性能来看，安全阀在使用中存在着泄漏这一失效模式。</w:t>
      </w:r>
    </w:p>
    <w:p w14:paraId="6B1513F2">
      <w:r>
        <w:rPr>
          <w:rFonts w:hint="eastAsia"/>
        </w:rPr>
        <w:t xml:space="preserve">    可把上述安全阀在使用中可能的失效模式简化为6种形式：</w:t>
      </w:r>
    </w:p>
    <w:p w14:paraId="22AB220B">
      <w:r>
        <w:rPr>
          <w:rFonts w:hint="eastAsia"/>
        </w:rPr>
        <w:t xml:space="preserve">    （1）安全阀粘死、堵塞不能开启；</w:t>
      </w:r>
    </w:p>
    <w:p w14:paraId="1A45C35C">
      <w:r>
        <w:rPr>
          <w:rFonts w:hint="eastAsia"/>
        </w:rPr>
        <w:t xml:space="preserve">    （2）安全阀超压开启；</w:t>
      </w:r>
    </w:p>
    <w:p w14:paraId="01645F37">
      <w:r>
        <w:rPr>
          <w:rFonts w:hint="eastAsia"/>
        </w:rPr>
        <w:t xml:space="preserve">    （3）安全阀提前开启；</w:t>
      </w:r>
    </w:p>
    <w:p w14:paraId="02A57CB4">
      <w:r>
        <w:rPr>
          <w:rFonts w:hint="eastAsia"/>
        </w:rPr>
        <w:t xml:space="preserve">    （4）安全阀启跳后弹簧断裂无法关闭；</w:t>
      </w:r>
    </w:p>
    <w:p w14:paraId="21ADAFF4">
      <w:r>
        <w:rPr>
          <w:rFonts w:hint="eastAsia"/>
        </w:rPr>
        <w:t xml:space="preserve">    （5）安全阀泄漏；</w:t>
      </w:r>
    </w:p>
    <w:p w14:paraId="1F43E936">
      <w:r>
        <w:rPr>
          <w:rFonts w:hint="eastAsia"/>
        </w:rPr>
        <w:t xml:space="preserve">    （6）安全阀排放时频跳不稳定。</w:t>
      </w:r>
    </w:p>
    <w:p w14:paraId="0B568557">
      <w:pPr>
        <w:ind w:firstLine="480" w:firstLineChars="200"/>
        <w:rPr>
          <w:bCs/>
          <w:color w:val="000000"/>
        </w:rPr>
      </w:pPr>
      <w:r>
        <w:rPr>
          <w:rFonts w:hint="eastAsia"/>
          <w:bCs/>
          <w:color w:val="000000"/>
        </w:rPr>
        <w:t>石化企业生产装置多，介质参数广（介质压力从低压到高压，温度从低温到常温再到1000多度高温），介质物性差异大（有腐蚀介质、非腐蚀介质；有环境温度下可自流介质，也有不可自流介质；有环境温度下易结晶、结焦、含杂质介质，也有洁净介质）。</w:t>
      </w:r>
    </w:p>
    <w:p w14:paraId="114605BB">
      <w:pPr>
        <w:pStyle w:val="3"/>
        <w:spacing w:before="230" w:after="230"/>
        <w:rPr>
          <w:b/>
          <w:szCs w:val="28"/>
        </w:rPr>
      </w:pPr>
      <w:bookmarkStart w:id="19" w:name="_Toc185152203"/>
      <w:r>
        <w:rPr>
          <w:rFonts w:hint="eastAsia"/>
        </w:rPr>
        <w:t>4.</w:t>
      </w:r>
      <w:r>
        <w:t>2</w:t>
      </w:r>
      <w:r>
        <w:rPr>
          <w:rFonts w:hint="eastAsia"/>
          <w:lang w:val="en-US" w:eastAsia="zh-CN"/>
        </w:rPr>
        <w:t xml:space="preserve"> </w:t>
      </w:r>
      <w:r>
        <w:rPr>
          <w:rFonts w:hint="eastAsia"/>
        </w:rPr>
        <w:t>安全阀失效可能性确定</w:t>
      </w:r>
      <w:bookmarkEnd w:id="16"/>
      <w:bookmarkEnd w:id="17"/>
      <w:bookmarkEnd w:id="18"/>
      <w:bookmarkEnd w:id="19"/>
    </w:p>
    <w:p w14:paraId="46568BB8">
      <w:pPr>
        <w:ind w:firstLine="480" w:firstLineChars="200"/>
        <w:rPr>
          <w:bCs/>
          <w:color w:val="000000"/>
        </w:rPr>
      </w:pPr>
      <w:r>
        <w:rPr>
          <w:rFonts w:hint="eastAsia"/>
          <w:bCs/>
          <w:color w:val="000000"/>
        </w:rPr>
        <w:t>根据石化企业在役安全阀的运行性能分析和失效案例统计，安全阀失效涉及诸多复杂因素，它的可靠度指标对装置稳定运行有很重要的影响。对于安全阀评价单元的失效可能性，以安全阀中弹簧的失效、安全阀的操作条件、履历和管理水平4个指标来评价安全阀的失效可能性。其中安全阀弹簧失效是根据不同类型的安全阀型式在大型石化企业失效的统计，进行整理分析而得到的概率值；安全阀的操作条件包括操作压力、操作温度、介质的腐蚀性、粘度、清洁程度等子因素；履历包括运行历史、校验情况等子因素；管理水平因素的分级采取</w:t>
      </w:r>
      <w:r>
        <w:rPr>
          <w:bCs/>
          <w:color w:val="000000"/>
        </w:rPr>
        <w:t>GB/T26610.4-20</w:t>
      </w:r>
      <w:r>
        <w:rPr>
          <w:rFonts w:hint="eastAsia"/>
          <w:bCs/>
          <w:color w:val="000000"/>
        </w:rPr>
        <w:t>22对各个管理指标打分的方法综合确定。</w:t>
      </w:r>
    </w:p>
    <w:p w14:paraId="013AFD8F">
      <w:pPr>
        <w:pStyle w:val="3"/>
        <w:spacing w:before="230" w:after="230"/>
        <w:rPr>
          <w:b/>
          <w:szCs w:val="28"/>
        </w:rPr>
      </w:pPr>
      <w:bookmarkStart w:id="20" w:name="_Toc401297816"/>
      <w:bookmarkStart w:id="21" w:name="_Toc185152204"/>
      <w:bookmarkStart w:id="22" w:name="_Toc384026321"/>
      <w:r>
        <w:rPr>
          <w:rFonts w:hint="eastAsia"/>
        </w:rPr>
        <w:t>4.</w:t>
      </w:r>
      <w:r>
        <w:rPr>
          <w:rFonts w:hint="eastAsia"/>
          <w:lang w:val="en-US" w:eastAsia="zh-CN"/>
        </w:rPr>
        <w:t xml:space="preserve">3 </w:t>
      </w:r>
      <w:r>
        <w:rPr>
          <w:rFonts w:hint="eastAsia"/>
        </w:rPr>
        <w:t>安全阀失效后果确定</w:t>
      </w:r>
      <w:bookmarkEnd w:id="20"/>
      <w:bookmarkEnd w:id="21"/>
      <w:bookmarkEnd w:id="22"/>
    </w:p>
    <w:p w14:paraId="4F1DFB5D">
      <w:pPr>
        <w:ind w:firstLine="480" w:firstLineChars="200"/>
        <w:rPr>
          <w:bCs/>
          <w:color w:val="000000"/>
        </w:rPr>
      </w:pPr>
      <w:r>
        <w:rPr>
          <w:rFonts w:hint="eastAsia"/>
          <w:bCs/>
          <w:color w:val="000000"/>
        </w:rPr>
        <w:t>在失效后果方面主要考虑操作介质的特性以及泄放量和泄放速率等参数，以与其相连的压力容器或压力管道周围的破坏影响面积为指标来确定后果。</w:t>
      </w:r>
    </w:p>
    <w:p w14:paraId="4C410344">
      <w:pPr>
        <w:ind w:firstLine="480" w:firstLineChars="200"/>
        <w:rPr>
          <w:bCs/>
          <w:color w:val="000000"/>
        </w:rPr>
      </w:pPr>
      <w:r>
        <w:rPr>
          <w:rFonts w:hint="eastAsia"/>
          <w:bCs/>
          <w:color w:val="000000"/>
        </w:rPr>
        <w:t>根据风险的定义，风险是由失效可能性和失效后果两部分组成的，安全阀的风险等级可以通过风险矩阵进行表征。风险矩阵图中的纵坐标1～5表示失效可能性从低到高的5个等级，横坐标A～E表示失效后果从低到高的5个等级。</w:t>
      </w:r>
    </w:p>
    <w:p w14:paraId="75271CE5">
      <w:pPr>
        <w:pStyle w:val="3"/>
        <w:spacing w:before="230" w:after="230"/>
      </w:pPr>
      <w:bookmarkStart w:id="23" w:name="_Toc287952890"/>
      <w:bookmarkStart w:id="24" w:name="_Toc401297817"/>
      <w:bookmarkStart w:id="25" w:name="_Toc185152205"/>
      <w:bookmarkStart w:id="26" w:name="_Toc384026322"/>
      <w:r>
        <w:rPr>
          <w:rFonts w:hint="eastAsia"/>
        </w:rPr>
        <w:t>4.</w:t>
      </w:r>
      <w:r>
        <w:t xml:space="preserve">4 </w:t>
      </w:r>
      <w:r>
        <w:rPr>
          <w:rFonts w:hint="eastAsia"/>
        </w:rPr>
        <w:t>安全阀校验周期确定</w:t>
      </w:r>
      <w:bookmarkEnd w:id="23"/>
      <w:r>
        <w:rPr>
          <w:rFonts w:hint="eastAsia"/>
        </w:rPr>
        <w:t>原则</w:t>
      </w:r>
      <w:bookmarkEnd w:id="24"/>
      <w:bookmarkEnd w:id="25"/>
      <w:bookmarkEnd w:id="26"/>
    </w:p>
    <w:p w14:paraId="788C6B2F">
      <w:pPr>
        <w:ind w:firstLine="480" w:firstLineChars="200"/>
        <w:rPr>
          <w:bCs/>
          <w:color w:val="000000"/>
        </w:rPr>
      </w:pPr>
      <w:r>
        <w:rPr>
          <w:rFonts w:hint="eastAsia"/>
          <w:bCs/>
          <w:color w:val="000000"/>
        </w:rPr>
        <w:t>安全阀是防止压力容器和管道在生产过程中发生超压事故的安全泄压装置。在石化企业生产过程中，广泛地使用着各种类型的安全阀。其中弹簧直接载荷式安全阀使用最为普遍。根据《固定式压力容器安全技术监察规程》、《安全阀安全技术监察规程》的规定，对满足相关条件的安全阀可适当延期校验。企业为了适应现代生产的需要，要求压力容器长期稳定运行。为保证企业安全快速的发展，我们提出对于在役安全阀装置进行RBI风险评价，根据风险的高低，对安全阀进行合理分类，按照风险等级确定其校验周期:对于风险高的重点检查，校验周期短。风险低的安全阀采取适当延长其停机校验周期的检验策略。</w:t>
      </w:r>
    </w:p>
    <w:p w14:paraId="3DF8DCCA">
      <w:pPr>
        <w:ind w:firstLine="480" w:firstLineChars="200"/>
        <w:rPr>
          <w:bCs/>
          <w:color w:val="000000"/>
        </w:rPr>
      </w:pPr>
      <w:r>
        <w:rPr>
          <w:rFonts w:hint="eastAsia"/>
          <w:bCs/>
          <w:color w:val="000000"/>
        </w:rPr>
        <w:t>从弹簧安全阀失效原因可以看出安全阀的质量、维修和校验是导致安全阀失效的重要原因；风险评估主要考虑的是安全阀在运行过程中服役环境对安全阀可能产生的风险，不包括安全阀设计、制造、安装过程中可能存在的风险。安全阀的失效还同使用、维修和校验有关，即同安全阀的材料是否合理、安装位置是否合适、维修方式是否恰当、零件更换是否进行、压力调校是否准确有关。</w:t>
      </w:r>
      <w:r>
        <w:rPr>
          <w:rFonts w:hint="eastAsia"/>
          <w:bCs/>
          <w:color w:val="000000"/>
          <w:lang w:val="en-US" w:eastAsia="zh-CN"/>
        </w:rPr>
        <w:t>大庆炼化</w:t>
      </w:r>
      <w:r>
        <w:rPr>
          <w:rFonts w:hint="eastAsia"/>
          <w:bCs/>
          <w:color w:val="000000"/>
        </w:rPr>
        <w:t>拥有多年运行经验，这些因素都是可以控制的，在此不再把它们作为考虑因素。</w:t>
      </w:r>
    </w:p>
    <w:p w14:paraId="0F3B0ED2">
      <w:pPr>
        <w:autoSpaceDE w:val="0"/>
        <w:autoSpaceDN w:val="0"/>
        <w:adjustRightInd w:val="0"/>
        <w:snapToGrid w:val="0"/>
        <w:spacing w:before="120" w:after="120" w:line="360" w:lineRule="auto"/>
        <w:ind w:firstLine="480" w:firstLineChars="200"/>
        <w:rPr>
          <w:rFonts w:hint="eastAsia" w:ascii="宋体" w:hAnsi="宋体"/>
        </w:rPr>
      </w:pPr>
      <w:r>
        <w:rPr>
          <w:rFonts w:hint="eastAsia" w:ascii="宋体" w:hAnsi="宋体"/>
        </w:rPr>
        <w:t>在本次评估中，设置了自上次校验后1</w:t>
      </w:r>
      <w:r>
        <w:rPr>
          <w:rFonts w:ascii="宋体" w:hAnsi="宋体"/>
        </w:rPr>
        <w:t>-5</w:t>
      </w:r>
      <w:r>
        <w:rPr>
          <w:rFonts w:hint="eastAsia" w:ascii="宋体" w:hAnsi="宋体"/>
        </w:rPr>
        <w:t>年五个评估时间点进行评估，被评估的安全阀都应在达到所评估的校验时间点之前进行校验，</w:t>
      </w:r>
      <w:r>
        <w:rPr>
          <w:rFonts w:hint="eastAsia" w:ascii="宋体" w:hAnsi="宋体"/>
          <w:b/>
          <w:bCs/>
        </w:rPr>
        <w:t>但是对于经现场检查存在异常的安全阀，应缩短校验时间，必要时立即校验</w:t>
      </w:r>
      <w:r>
        <w:rPr>
          <w:rFonts w:hint="eastAsia" w:ascii="宋体" w:hAnsi="宋体"/>
        </w:rPr>
        <w:t>。考虑到安全阀的风险随着累计投用时间和校验历史的变化性，本次评估结论有效期为各安全阀校验时间点之前。在有效期内，如果对安全阀进行了校验，其风险水平会有所变化，应重新进行评估。</w:t>
      </w:r>
    </w:p>
    <w:p w14:paraId="67B4552B">
      <w:pPr>
        <w:pStyle w:val="2"/>
        <w:spacing w:before="230" w:after="230"/>
        <w:rPr>
          <w:highlight w:val="none"/>
        </w:rPr>
      </w:pPr>
      <w:bookmarkStart w:id="27" w:name="_Toc185152206"/>
      <w:r>
        <w:rPr>
          <w:rFonts w:hint="eastAsia"/>
          <w:highlight w:val="none"/>
        </w:rPr>
        <w:t xml:space="preserve">5. </w:t>
      </w:r>
      <w:bookmarkStart w:id="28" w:name="OLE_LINK1"/>
      <w:bookmarkStart w:id="29" w:name="OLE_LINK2"/>
      <w:r>
        <w:rPr>
          <w:rFonts w:hint="eastAsia"/>
          <w:highlight w:val="none"/>
        </w:rPr>
        <w:t>公司概况</w:t>
      </w:r>
      <w:bookmarkEnd w:id="27"/>
    </w:p>
    <w:bookmarkEnd w:id="28"/>
    <w:bookmarkEnd w:id="29"/>
    <w:p w14:paraId="58C26BF2">
      <w:pPr>
        <w:ind w:firstLine="420"/>
        <w:rPr>
          <w:rFonts w:hint="eastAsia" w:eastAsia="宋体"/>
          <w:highlight w:val="none"/>
          <w:lang w:eastAsia="zh-CN"/>
        </w:rPr>
      </w:pPr>
      <w:bookmarkStart w:id="30" w:name="_Toc98261453"/>
      <w:r>
        <w:rPr>
          <w:rFonts w:hint="eastAsia"/>
          <w:highlight w:val="none"/>
          <w:lang w:eastAsia="zh-CN"/>
        </w:rPr>
        <w:t>中国石油天然气股份有限公司</w:t>
      </w:r>
      <w:r>
        <w:rPr>
          <w:rFonts w:hint="eastAsia"/>
          <w:highlight w:val="none"/>
          <w:lang w:val="en-US" w:eastAsia="zh-CN"/>
        </w:rPr>
        <w:t>大庆炼化分公司</w:t>
      </w:r>
      <w:r>
        <w:rPr>
          <w:rFonts w:hint="eastAsia"/>
          <w:highlight w:val="none"/>
          <w:lang w:eastAsia="zh-CN"/>
        </w:rPr>
        <w:t>，2000年10月由原大庆油田化工总厂和林源石化公司重组成立，是集炼油、化工生产和矿区服务于一体的综合性石油化工企业，具有600万吨/年原油一、二次配套加工能力和20万吨/年润滑油，10万吨/年石蜡，15万吨/年聚丙烯酰胺以及30万吨/年聚丙烯等炼油化工生产装置。</w:t>
      </w:r>
    </w:p>
    <w:p w14:paraId="3011825A">
      <w:pPr>
        <w:ind w:firstLine="420"/>
        <w:rPr>
          <w:rFonts w:hint="eastAsia"/>
          <w:highlight w:val="none"/>
        </w:rPr>
      </w:pPr>
      <w:r>
        <w:rPr>
          <w:rFonts w:hint="eastAsia"/>
          <w:highlight w:val="none"/>
          <w:lang w:val="en-US" w:eastAsia="zh-CN"/>
        </w:rPr>
        <w:t>炼油二部</w:t>
      </w:r>
      <w:r>
        <w:rPr>
          <w:rFonts w:hint="eastAsia"/>
          <w:highlight w:val="none"/>
        </w:rPr>
        <w:t>瓦斯装置负责低压瓦斯排放、回收以及高压瓦斯的平衡工作，主要包括：5000m</w:t>
      </w:r>
      <w:r>
        <w:rPr>
          <w:rFonts w:hint="eastAsia"/>
          <w:highlight w:val="none"/>
          <w:vertAlign w:val="superscript"/>
        </w:rPr>
        <w:t>3</w:t>
      </w:r>
      <w:r>
        <w:rPr>
          <w:rFonts w:hint="eastAsia"/>
          <w:highlight w:val="none"/>
        </w:rPr>
        <w:t>湿式气柜一座（停用）、30000m</w:t>
      </w:r>
      <w:r>
        <w:rPr>
          <w:rFonts w:hint="eastAsia"/>
          <w:highlight w:val="none"/>
          <w:vertAlign w:val="superscript"/>
        </w:rPr>
        <w:t>3</w:t>
      </w:r>
      <w:r>
        <w:rPr>
          <w:rFonts w:hint="eastAsia"/>
          <w:highlight w:val="none"/>
        </w:rPr>
        <w:t>干式气柜一座、120m火炬两座、干气脱硫设施、压缩机系统、胺液再生系统；配套的低压瓦斯管网、高压瓦斯管网、酸性气管网、凝缩油管网共30000余米。</w:t>
      </w:r>
    </w:p>
    <w:p w14:paraId="550B5E89">
      <w:pPr>
        <w:ind w:firstLine="420"/>
        <w:rPr>
          <w:rFonts w:hint="eastAsia"/>
          <w:highlight w:val="none"/>
        </w:rPr>
      </w:pPr>
      <w:r>
        <w:rPr>
          <w:rFonts w:hint="eastAsia"/>
          <w:highlight w:val="none"/>
          <w:lang w:val="en-US" w:eastAsia="zh-CN"/>
        </w:rPr>
        <w:t>炼油二部制酸</w:t>
      </w:r>
      <w:r>
        <w:rPr>
          <w:rFonts w:hint="eastAsia"/>
          <w:highlight w:val="none"/>
        </w:rPr>
        <w:t>装置采用湿法制硫酸技术，由中石化南京工程有限公司设计，中油七建等单位共同施工建设。设计处理酸性气量1250Nm</w:t>
      </w:r>
      <w:r>
        <w:rPr>
          <w:rFonts w:hint="eastAsia"/>
          <w:highlight w:val="none"/>
          <w:vertAlign w:val="superscript"/>
        </w:rPr>
        <w:t>3</w:t>
      </w:r>
      <w:r>
        <w:rPr>
          <w:rFonts w:hint="eastAsia"/>
          <w:highlight w:val="none"/>
        </w:rPr>
        <w:t>/h，产品为93%工业硫酸，年开工8000小时，装置总投资4500多万元，装置于2013年11月破土动工，2014年8月30日中交，总占地2500平方米。装置特点总硫回收率达到99.9%以上，除产品浓硫酸和中压蒸汽外，没有需要二次处理的副产品或污染物产生，工艺流程简单，设备少，操作弹性大。</w:t>
      </w:r>
    </w:p>
    <w:p w14:paraId="06D02385">
      <w:pPr>
        <w:ind w:firstLine="420"/>
        <w:rPr>
          <w:rFonts w:hint="default" w:eastAsia="宋体"/>
          <w:highlight w:val="none"/>
          <w:lang w:val="en-US" w:eastAsia="zh-CN"/>
        </w:rPr>
      </w:pPr>
      <w:r>
        <w:rPr>
          <w:rFonts w:hint="eastAsia"/>
          <w:highlight w:val="none"/>
          <w:lang w:val="en-US" w:eastAsia="zh-CN"/>
        </w:rPr>
        <w:t>炼油二部酸性水汽提装置主要包括原料水预处理、汽提和氨精制三部分，设计中吸取国内同类装置的先进经验，采用单塔加压侧线抽氨工艺，用于处理一套ARGG装置、二套ARGG装置、庆化TMP装置、汽油加氢装置、柴油加氢装置、加氢改质装置、异构脱蜡及瓦斯装置所排放的含硫污水。</w:t>
      </w:r>
    </w:p>
    <w:p w14:paraId="0C217CA1">
      <w:pPr>
        <w:ind w:firstLine="420"/>
        <w:rPr>
          <w:rFonts w:hint="eastAsia"/>
          <w:highlight w:val="none"/>
          <w:lang w:val="en-US" w:eastAsia="zh-CN"/>
        </w:rPr>
      </w:pPr>
      <w:r>
        <w:rPr>
          <w:rFonts w:hint="eastAsia"/>
          <w:highlight w:val="none"/>
          <w:lang w:val="en-US" w:eastAsia="zh-CN"/>
        </w:rPr>
        <w:t>炼油三部异构脱蜡装置采用美国雪佛龙异构脱蜡专利技术，生产高粘度指数、低倾点的优质润滑油基础油，副产优质柴油、研磨油。由中石化北京设计院设计，由中油第七建筑公司、大庆市建安集团共同承建。装置年设计处理能力为20万吨。全装置共有设备157台，占地面积11700平方米，1997年4月破土动工，于1999年10月建成投产一次成功。</w:t>
      </w:r>
    </w:p>
    <w:p w14:paraId="7BA3EEC9">
      <w:pPr>
        <w:ind w:firstLine="420"/>
        <w:rPr>
          <w:rFonts w:hint="eastAsia"/>
          <w:highlight w:val="none"/>
          <w:lang w:val="en-US" w:eastAsia="zh-CN"/>
        </w:rPr>
      </w:pPr>
      <w:r>
        <w:rPr>
          <w:rFonts w:hint="eastAsia"/>
          <w:highlight w:val="none"/>
          <w:lang w:val="en-US" w:eastAsia="zh-CN"/>
        </w:rPr>
        <w:t>炼油三部白油加氢装置公称规模3万吨/年食品添加剂白油，采用中国石油化工科学研究院开发的一段法生产白油的加氢工艺，于2002年6月开始由洛阳设计院设计，由中石化十一化建施工建设安装，2002年7月破土动工，2003年7月建成投产。装置以炼油三部异构脱蜡装置生产的HVIH2 、HVIP6、VHVI10润滑油基础油及甲醇厂所产的纯度为99%以上的氢气为原料，经过高温、高压加氢工艺，高度饱和其中的芳烃，同时脱除微量的硫、氮、氧等杂质，生产各粘度等级的优质化妆级和食品添加剂白油。</w:t>
      </w:r>
    </w:p>
    <w:p w14:paraId="14223770">
      <w:pPr>
        <w:ind w:firstLine="420"/>
        <w:rPr>
          <w:rFonts w:hint="eastAsia" w:eastAsia="宋体"/>
          <w:highlight w:val="none"/>
          <w:lang w:eastAsia="zh-CN"/>
        </w:rPr>
      </w:pPr>
      <w:r>
        <w:rPr>
          <w:rFonts w:hint="eastAsia"/>
          <w:highlight w:val="none"/>
          <w:lang w:val="en-US" w:eastAsia="zh-CN"/>
        </w:rPr>
        <w:t>化工一部丙烯腈</w:t>
      </w:r>
      <w:r>
        <w:rPr>
          <w:rFonts w:hint="eastAsia"/>
          <w:highlight w:val="none"/>
        </w:rPr>
        <w:t>装置工艺引进美国BP化学公司，由中国石油兰州石化设计院承担设计，设计能力为5万吨/年。装置于1995年建成投产</w:t>
      </w:r>
      <w:r>
        <w:rPr>
          <w:rFonts w:hint="eastAsia"/>
          <w:highlight w:val="none"/>
          <w:lang w:eastAsia="zh-CN"/>
        </w:rPr>
        <w:t>，</w:t>
      </w:r>
      <w:r>
        <w:rPr>
          <w:rFonts w:hint="eastAsia"/>
          <w:highlight w:val="none"/>
        </w:rPr>
        <w:t>于2001年对回收精制进行了部分8万吨/年配套项目的改造，改造后生产能力达6.5万吨/年。2002年进行了提高精制回收率改造。2004年装置进行了5万吨/年扩能至8万吨/年的二期工程，改造后生产能力达到8万吨/年。装置主要由反应部分、精制部分、辅助系统三部分组成。反应部分包括原料系统、反应系统、回收系统；精制部分包括精制系统、产品储存系统；辅助系统包括空压制冷系统、四效蒸发系统；2017年新增AOGC回收系统作为环保装置</w:t>
      </w:r>
      <w:r>
        <w:rPr>
          <w:rFonts w:hint="eastAsia"/>
          <w:highlight w:val="none"/>
          <w:lang w:eastAsia="zh-CN"/>
        </w:rPr>
        <w:t>；</w:t>
      </w:r>
      <w:r>
        <w:rPr>
          <w:rFonts w:hint="eastAsia"/>
          <w:highlight w:val="none"/>
        </w:rPr>
        <w:t>2019新增VOCs尾气回收系统</w:t>
      </w:r>
      <w:r>
        <w:rPr>
          <w:rFonts w:hint="eastAsia"/>
          <w:highlight w:val="none"/>
          <w:lang w:eastAsia="zh-CN"/>
        </w:rPr>
        <w:t>；</w:t>
      </w:r>
      <w:r>
        <w:rPr>
          <w:rFonts w:hint="eastAsia"/>
          <w:highlight w:val="none"/>
        </w:rPr>
        <w:t>2023年实施吸收水冷却器偏流改造治理项目</w:t>
      </w:r>
      <w:r>
        <w:rPr>
          <w:rFonts w:hint="eastAsia"/>
          <w:highlight w:val="none"/>
          <w:lang w:eastAsia="zh-CN"/>
        </w:rPr>
        <w:t>。</w:t>
      </w:r>
    </w:p>
    <w:p w14:paraId="76B66DCE">
      <w:pPr>
        <w:ind w:firstLine="420"/>
        <w:rPr>
          <w:rFonts w:hint="eastAsia"/>
          <w:highlight w:val="none"/>
        </w:rPr>
      </w:pPr>
      <w:r>
        <w:rPr>
          <w:rFonts w:hint="eastAsia"/>
          <w:highlight w:val="none"/>
          <w:lang w:val="en-US" w:eastAsia="zh-CN"/>
        </w:rPr>
        <w:t>化工一部</w:t>
      </w:r>
      <w:r>
        <w:rPr>
          <w:rFonts w:hint="eastAsia"/>
          <w:highlight w:val="none"/>
        </w:rPr>
        <w:t>丙烯腈装置在生产过程中产生</w:t>
      </w:r>
      <w:r>
        <w:rPr>
          <w:rFonts w:hint="eastAsia"/>
          <w:highlight w:val="none"/>
          <w:lang w:val="en-US" w:eastAsia="zh-CN"/>
        </w:rPr>
        <w:t>的</w:t>
      </w:r>
      <w:r>
        <w:rPr>
          <w:rFonts w:hint="eastAsia"/>
          <w:highlight w:val="none"/>
        </w:rPr>
        <w:t>大量含有丙烯腈、氢氰酸、乙腈硫铵等有毒有害有机物的废水，这些废水不能直接排放，需要送至综合加工装置区</w:t>
      </w:r>
      <w:r>
        <w:rPr>
          <w:rFonts w:hint="eastAsia"/>
          <w:highlight w:val="none"/>
          <w:lang w:val="en-US" w:eastAsia="zh-CN"/>
        </w:rPr>
        <w:t>化工一部</w:t>
      </w:r>
      <w:r>
        <w:rPr>
          <w:rFonts w:hint="eastAsia"/>
          <w:highlight w:val="none"/>
        </w:rPr>
        <w:t>生化装置进行无害化处理。</w:t>
      </w:r>
      <w:r>
        <w:rPr>
          <w:rFonts w:hint="eastAsia"/>
          <w:highlight w:val="none"/>
          <w:lang w:val="en-US" w:eastAsia="zh-CN"/>
        </w:rPr>
        <w:t>生化装置</w:t>
      </w:r>
      <w:r>
        <w:rPr>
          <w:rFonts w:hint="eastAsia"/>
          <w:highlight w:val="none"/>
        </w:rPr>
        <w:t>采用上海东化环境工程有限公司高温热氧化处理工艺，能够有效处理相关装置生产中产生的废水以及异常工况下的HCN、碱洗液等，烟气中热量通过余热锅炉回收利用。该系统还包括袋式除尘器、脱硝、脱硫及脱硫废水处理等部分，对烟气进行除尘、脱硝、脱硫，保证烟气排放达到国家排放标准。</w:t>
      </w:r>
    </w:p>
    <w:p w14:paraId="2C51B1D2">
      <w:pPr>
        <w:ind w:firstLine="420"/>
        <w:rPr>
          <w:rFonts w:hint="eastAsia"/>
          <w:highlight w:val="none"/>
        </w:rPr>
      </w:pPr>
      <w:r>
        <w:rPr>
          <w:rFonts w:hint="eastAsia"/>
          <w:highlight w:val="none"/>
          <w:lang w:val="en-US" w:eastAsia="zh-CN"/>
        </w:rPr>
        <w:t>化工三部一套</w:t>
      </w:r>
      <w:r>
        <w:rPr>
          <w:rFonts w:hint="eastAsia"/>
          <w:highlight w:val="none"/>
        </w:rPr>
        <w:t>聚丙烯装置采用意大利Basel1公司的Spheripol-II代聚丙烯工艺技术，设计生产能力为30万吨/年聚丙烯本色颗粒，操作弹性60%~110%</w:t>
      </w:r>
      <w:r>
        <w:rPr>
          <w:rFonts w:hint="eastAsia"/>
          <w:highlight w:val="none"/>
          <w:lang w:eastAsia="zh-CN"/>
        </w:rPr>
        <w:t>，</w:t>
      </w:r>
      <w:r>
        <w:rPr>
          <w:rFonts w:hint="eastAsia"/>
          <w:highlight w:val="none"/>
        </w:rPr>
        <w:t>年操作8000小时，可生产均聚物(56个牌号)、无规共聚物(21个牌号)、高抗冲共聚物(26个牌号)共103个产品牌号。装置以丙烯、乙烯、氢气为原料，原料来源有：公司自产丙烯、大庆石化产丙烯和乙烯、公司自产氢气和甲醇厂产氢气。装置聚丙烯产品为中石油化工销售公司买断，销售去向为华南、华东、华北、西南和东北。</w:t>
      </w:r>
    </w:p>
    <w:p w14:paraId="002DC04A">
      <w:pPr>
        <w:pStyle w:val="3"/>
        <w:spacing w:before="115" w:beforeLines="25" w:after="115" w:afterLines="25"/>
        <w:rPr>
          <w:highlight w:val="none"/>
        </w:rPr>
      </w:pPr>
      <w:bookmarkStart w:id="31" w:name="_Toc185152207"/>
      <w:r>
        <w:rPr>
          <w:rFonts w:hint="eastAsia"/>
          <w:highlight w:val="none"/>
        </w:rPr>
        <w:t>5</w:t>
      </w:r>
      <w:r>
        <w:rPr>
          <w:highlight w:val="none"/>
        </w:rPr>
        <w:t>.1</w:t>
      </w:r>
      <w:r>
        <w:rPr>
          <w:rFonts w:hint="eastAsia"/>
          <w:highlight w:val="none"/>
        </w:rPr>
        <w:t xml:space="preserve"> </w:t>
      </w:r>
      <w:r>
        <w:rPr>
          <w:highlight w:val="none"/>
        </w:rPr>
        <w:t>装置</w:t>
      </w:r>
      <w:bookmarkEnd w:id="30"/>
      <w:r>
        <w:rPr>
          <w:rFonts w:hint="eastAsia"/>
          <w:highlight w:val="none"/>
        </w:rPr>
        <w:t>安全阀统计</w:t>
      </w:r>
      <w:bookmarkEnd w:id="31"/>
    </w:p>
    <w:p w14:paraId="7636785F">
      <w:pPr>
        <w:ind w:firstLine="480" w:firstLineChars="200"/>
        <w:rPr>
          <w:color w:val="000000"/>
        </w:rPr>
      </w:pPr>
      <w:bookmarkStart w:id="32" w:name="_Toc98261454"/>
      <w:r>
        <w:rPr>
          <w:rFonts w:hint="eastAsia"/>
          <w:color w:val="000000"/>
        </w:rPr>
        <w:t>装置安全阀数量见表5-1。</w:t>
      </w:r>
    </w:p>
    <w:p w14:paraId="22B4DC23">
      <w:pPr>
        <w:jc w:val="center"/>
        <w:rPr>
          <w:color w:val="000000"/>
        </w:rPr>
      </w:pPr>
      <w:r>
        <w:rPr>
          <w:rFonts w:hint="eastAsia"/>
          <w:color w:val="000000"/>
        </w:rPr>
        <w:t>表5-1 装置安全阀数量统计</w:t>
      </w:r>
    </w:p>
    <w:tbl>
      <w:tblPr>
        <w:tblStyle w:val="30"/>
        <w:tblW w:w="3356" w:type="pct"/>
        <w:jc w:val="center"/>
        <w:tblLayout w:type="autofit"/>
        <w:tblCellMar>
          <w:top w:w="0" w:type="dxa"/>
          <w:left w:w="108" w:type="dxa"/>
          <w:bottom w:w="0" w:type="dxa"/>
          <w:right w:w="108" w:type="dxa"/>
        </w:tblCellMar>
      </w:tblPr>
      <w:tblGrid>
        <w:gridCol w:w="696"/>
        <w:gridCol w:w="1932"/>
        <w:gridCol w:w="1943"/>
        <w:gridCol w:w="1472"/>
      </w:tblGrid>
      <w:tr w14:paraId="4E8AAD02">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6DE3BD">
            <w:pPr>
              <w:widowControl/>
              <w:jc w:val="center"/>
              <w:rPr>
                <w:color w:val="000000"/>
              </w:rPr>
            </w:pPr>
            <w:r>
              <w:rPr>
                <w:rFonts w:hint="eastAsia"/>
                <w:color w:val="000000"/>
              </w:rPr>
              <w:t>序号</w:t>
            </w:r>
          </w:p>
        </w:tc>
        <w:tc>
          <w:tcPr>
            <w:tcW w:w="15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B739D1">
            <w:pPr>
              <w:widowControl/>
              <w:jc w:val="center"/>
              <w:rPr>
                <w:rFonts w:hint="default"/>
                <w:color w:val="000000"/>
                <w:lang w:val="en-US" w:eastAsia="zh-CN"/>
              </w:rPr>
            </w:pPr>
            <w:r>
              <w:rPr>
                <w:rFonts w:hint="eastAsia"/>
                <w:color w:val="000000"/>
                <w:lang w:val="en-US" w:eastAsia="zh-CN"/>
              </w:rPr>
              <w:t>运行部名称</w:t>
            </w: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0BCA42">
            <w:pPr>
              <w:widowControl/>
              <w:jc w:val="center"/>
              <w:rPr>
                <w:color w:val="000000"/>
              </w:rPr>
            </w:pPr>
            <w:r>
              <w:rPr>
                <w:rFonts w:hint="eastAsia"/>
                <w:color w:val="000000"/>
                <w:lang w:val="en-US" w:eastAsia="zh-CN"/>
              </w:rPr>
              <w:t>装置名称</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5B5B098F">
            <w:pPr>
              <w:widowControl/>
              <w:jc w:val="center"/>
              <w:rPr>
                <w:rFonts w:hint="eastAsia" w:ascii="宋体" w:hAnsi="宋体" w:cs="宋体"/>
                <w:color w:val="000000"/>
                <w:kern w:val="0"/>
              </w:rPr>
            </w:pPr>
            <w:r>
              <w:rPr>
                <w:rFonts w:hint="eastAsia" w:ascii="宋体" w:hAnsi="宋体" w:cs="宋体"/>
                <w:color w:val="000000"/>
                <w:kern w:val="0"/>
              </w:rPr>
              <w:t>安全阀数量</w:t>
            </w:r>
          </w:p>
        </w:tc>
      </w:tr>
      <w:tr w14:paraId="6A151148">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1BFB72">
            <w:pPr>
              <w:widowControl/>
              <w:jc w:val="center"/>
              <w:rPr>
                <w:color w:val="000000"/>
              </w:rPr>
            </w:pPr>
            <w:r>
              <w:rPr>
                <w:rFonts w:hint="eastAsia"/>
                <w:color w:val="000000"/>
              </w:rPr>
              <w:t>1</w:t>
            </w:r>
          </w:p>
        </w:tc>
        <w:tc>
          <w:tcPr>
            <w:tcW w:w="1599" w:type="pct"/>
            <w:vMerge w:val="restart"/>
            <w:tcBorders>
              <w:top w:val="single" w:color="auto" w:sz="4" w:space="0"/>
              <w:left w:val="single" w:color="auto" w:sz="4" w:space="0"/>
              <w:right w:val="single" w:color="auto" w:sz="4" w:space="0"/>
            </w:tcBorders>
            <w:shd w:val="clear" w:color="auto" w:fill="auto"/>
            <w:noWrap/>
            <w:vAlign w:val="center"/>
          </w:tcPr>
          <w:p w14:paraId="5D27F2CD">
            <w:pPr>
              <w:keepNext w:val="0"/>
              <w:keepLines w:val="0"/>
              <w:widowControl/>
              <w:suppressLineNumbers w:val="0"/>
              <w:jc w:val="center"/>
              <w:textAlignment w:val="center"/>
              <w:rPr>
                <w:rFonts w:hint="default"/>
                <w:color w:val="000000"/>
                <w:lang w:val="en-US" w:eastAsia="zh-CN"/>
              </w:rPr>
            </w:pPr>
            <w:r>
              <w:rPr>
                <w:rFonts w:hint="eastAsia"/>
                <w:color w:val="000000"/>
                <w:lang w:val="en-US" w:eastAsia="zh-CN"/>
              </w:rPr>
              <w:t>炼油二部</w:t>
            </w: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8C82BD">
            <w:pPr>
              <w:keepNext w:val="0"/>
              <w:keepLines w:val="0"/>
              <w:widowControl/>
              <w:suppressLineNumbers w:val="0"/>
              <w:jc w:val="center"/>
              <w:textAlignment w:val="center"/>
              <w:rPr>
                <w:rFonts w:hint="default" w:eastAsia="宋体"/>
                <w:color w:val="000000"/>
                <w:lang w:val="en-US" w:eastAsia="zh-CN"/>
              </w:rPr>
            </w:pPr>
            <w:r>
              <w:rPr>
                <w:rFonts w:hint="eastAsia"/>
                <w:color w:val="000000"/>
                <w:lang w:val="en-US" w:eastAsia="zh-CN"/>
              </w:rPr>
              <w:t>瓦斯装置</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0E804649">
            <w:pPr>
              <w:keepNext w:val="0"/>
              <w:keepLines w:val="0"/>
              <w:widowControl/>
              <w:suppressLineNumbers w:val="0"/>
              <w:jc w:val="center"/>
              <w:textAlignment w:val="center"/>
              <w:rPr>
                <w:rFonts w:hint="default" w:eastAsia="宋体"/>
                <w:color w:val="000000"/>
                <w:lang w:val="en-US" w:eastAsia="zh-CN"/>
              </w:rPr>
            </w:pPr>
            <w:r>
              <w:rPr>
                <w:rFonts w:hint="eastAsia"/>
                <w:color w:val="000000"/>
                <w:lang w:val="en-US" w:eastAsia="zh-CN"/>
              </w:rPr>
              <w:t>9</w:t>
            </w:r>
          </w:p>
        </w:tc>
      </w:tr>
      <w:tr w14:paraId="58293C6F">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3E8E93">
            <w:pPr>
              <w:widowControl/>
              <w:jc w:val="center"/>
              <w:rPr>
                <w:rFonts w:hint="default"/>
                <w:color w:val="000000"/>
                <w:lang w:val="en-US" w:eastAsia="zh-CN"/>
              </w:rPr>
            </w:pPr>
            <w:bookmarkStart w:id="33" w:name="_Toc98261455"/>
            <w:bookmarkStart w:id="34" w:name="_Toc185152208"/>
            <w:r>
              <w:rPr>
                <w:rFonts w:hint="eastAsia"/>
                <w:color w:val="000000"/>
                <w:lang w:val="en-US" w:eastAsia="zh-CN"/>
              </w:rPr>
              <w:t>2</w:t>
            </w:r>
          </w:p>
        </w:tc>
        <w:tc>
          <w:tcPr>
            <w:tcW w:w="1599" w:type="pct"/>
            <w:vMerge w:val="continue"/>
            <w:tcBorders>
              <w:left w:val="single" w:color="auto" w:sz="4" w:space="0"/>
              <w:right w:val="single" w:color="auto" w:sz="4" w:space="0"/>
            </w:tcBorders>
            <w:shd w:val="clear" w:color="auto" w:fill="auto"/>
            <w:noWrap/>
            <w:vAlign w:val="center"/>
          </w:tcPr>
          <w:p w14:paraId="235A599E">
            <w:pPr>
              <w:keepNext w:val="0"/>
              <w:keepLines w:val="0"/>
              <w:widowControl/>
              <w:suppressLineNumbers w:val="0"/>
              <w:jc w:val="center"/>
              <w:textAlignment w:val="center"/>
              <w:rPr>
                <w:rFonts w:hint="eastAsia" w:ascii="宋体" w:hAnsi="宋体" w:cs="宋体"/>
                <w:color w:val="000000"/>
                <w:kern w:val="0"/>
                <w:lang w:val="en-US" w:eastAsia="zh-CN" w:bidi="ar"/>
              </w:rPr>
            </w:pP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503C20">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制酸装置</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700B101B">
            <w:pPr>
              <w:keepNext w:val="0"/>
              <w:keepLines w:val="0"/>
              <w:widowControl/>
              <w:suppressLineNumbers w:val="0"/>
              <w:jc w:val="center"/>
              <w:textAlignment w:val="center"/>
              <w:rPr>
                <w:rFonts w:hint="default" w:cs="Arial Narrow"/>
                <w:color w:val="000000"/>
                <w:kern w:val="0"/>
                <w:lang w:val="en-US" w:eastAsia="zh-CN" w:bidi="ar"/>
              </w:rPr>
            </w:pPr>
            <w:r>
              <w:rPr>
                <w:rFonts w:hint="eastAsia" w:cs="Arial Narrow"/>
                <w:color w:val="000000"/>
                <w:kern w:val="0"/>
                <w:lang w:val="en-US" w:eastAsia="zh-CN" w:bidi="ar"/>
              </w:rPr>
              <w:t>12</w:t>
            </w:r>
          </w:p>
        </w:tc>
      </w:tr>
      <w:tr w14:paraId="71921B5E">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0DF98B">
            <w:pPr>
              <w:widowControl/>
              <w:jc w:val="center"/>
              <w:rPr>
                <w:rFonts w:hint="eastAsia" w:ascii="Arial Narrow" w:hAnsi="Arial Narrow" w:eastAsia="宋体" w:cs="Times New Roman"/>
                <w:color w:val="000000"/>
                <w:kern w:val="2"/>
                <w:sz w:val="24"/>
                <w:szCs w:val="24"/>
                <w:lang w:val="en-US" w:eastAsia="zh-CN" w:bidi="ar-SA"/>
              </w:rPr>
            </w:pPr>
            <w:r>
              <w:rPr>
                <w:rFonts w:hint="eastAsia"/>
                <w:color w:val="000000"/>
                <w:lang w:val="en-US" w:eastAsia="zh-CN"/>
              </w:rPr>
              <w:t>3</w:t>
            </w:r>
          </w:p>
        </w:tc>
        <w:tc>
          <w:tcPr>
            <w:tcW w:w="1599" w:type="pct"/>
            <w:vMerge w:val="continue"/>
            <w:tcBorders>
              <w:left w:val="single" w:color="auto" w:sz="4" w:space="0"/>
              <w:bottom w:val="single" w:color="auto" w:sz="4" w:space="0"/>
              <w:right w:val="single" w:color="auto" w:sz="4" w:space="0"/>
            </w:tcBorders>
            <w:shd w:val="clear" w:color="auto" w:fill="auto"/>
            <w:noWrap/>
            <w:vAlign w:val="center"/>
          </w:tcPr>
          <w:p w14:paraId="2BD30A67">
            <w:pPr>
              <w:keepNext w:val="0"/>
              <w:keepLines w:val="0"/>
              <w:widowControl/>
              <w:suppressLineNumbers w:val="0"/>
              <w:jc w:val="center"/>
              <w:textAlignment w:val="center"/>
              <w:rPr>
                <w:rFonts w:hint="eastAsia" w:ascii="宋体" w:hAnsi="宋体" w:cs="宋体"/>
                <w:color w:val="000000"/>
                <w:kern w:val="0"/>
                <w:lang w:val="en-US" w:eastAsia="zh-CN" w:bidi="ar"/>
              </w:rPr>
            </w:pP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1F083">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酸性水汽提装置</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211E7E81">
            <w:pPr>
              <w:keepNext w:val="0"/>
              <w:keepLines w:val="0"/>
              <w:widowControl/>
              <w:suppressLineNumbers w:val="0"/>
              <w:jc w:val="center"/>
              <w:textAlignment w:val="center"/>
              <w:rPr>
                <w:rFonts w:hint="default" w:cs="Arial Narrow"/>
                <w:color w:val="000000"/>
                <w:kern w:val="0"/>
                <w:lang w:val="en-US" w:eastAsia="zh-CN" w:bidi="ar"/>
              </w:rPr>
            </w:pPr>
            <w:r>
              <w:rPr>
                <w:rFonts w:hint="eastAsia" w:cs="Arial Narrow"/>
                <w:color w:val="000000"/>
                <w:kern w:val="0"/>
                <w:lang w:val="en-US" w:eastAsia="zh-CN" w:bidi="ar"/>
              </w:rPr>
              <w:t>7</w:t>
            </w:r>
          </w:p>
        </w:tc>
      </w:tr>
      <w:tr w14:paraId="502154A6">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28F832">
            <w:pPr>
              <w:widowControl/>
              <w:jc w:val="center"/>
              <w:rPr>
                <w:rFonts w:hint="default" w:ascii="Arial Narrow" w:hAnsi="Arial Narrow" w:eastAsia="宋体" w:cs="Times New Roman"/>
                <w:color w:val="000000"/>
                <w:kern w:val="2"/>
                <w:sz w:val="24"/>
                <w:szCs w:val="24"/>
                <w:lang w:val="en-US" w:eastAsia="zh-CN" w:bidi="ar-SA"/>
              </w:rPr>
            </w:pPr>
            <w:r>
              <w:rPr>
                <w:rFonts w:hint="eastAsia"/>
                <w:color w:val="000000"/>
                <w:lang w:val="en-US" w:eastAsia="zh-CN"/>
              </w:rPr>
              <w:t>4</w:t>
            </w:r>
          </w:p>
        </w:tc>
        <w:tc>
          <w:tcPr>
            <w:tcW w:w="1599" w:type="pct"/>
            <w:vMerge w:val="restart"/>
            <w:tcBorders>
              <w:top w:val="single" w:color="auto" w:sz="4" w:space="0"/>
              <w:left w:val="single" w:color="auto" w:sz="4" w:space="0"/>
              <w:right w:val="single" w:color="auto" w:sz="4" w:space="0"/>
            </w:tcBorders>
            <w:shd w:val="clear" w:color="auto" w:fill="auto"/>
            <w:noWrap/>
            <w:vAlign w:val="center"/>
          </w:tcPr>
          <w:p w14:paraId="0987CB50">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炼油三部</w:t>
            </w: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FC3BAE">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异构脱蜡装置</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5A712E2E">
            <w:pPr>
              <w:keepNext w:val="0"/>
              <w:keepLines w:val="0"/>
              <w:widowControl/>
              <w:suppressLineNumbers w:val="0"/>
              <w:jc w:val="center"/>
              <w:textAlignment w:val="center"/>
              <w:rPr>
                <w:rFonts w:hint="default" w:cs="Arial Narrow"/>
                <w:color w:val="000000"/>
                <w:kern w:val="0"/>
                <w:lang w:val="en-US" w:eastAsia="zh-CN" w:bidi="ar"/>
              </w:rPr>
            </w:pPr>
            <w:r>
              <w:rPr>
                <w:rFonts w:hint="eastAsia" w:cs="Arial Narrow"/>
                <w:color w:val="000000"/>
                <w:kern w:val="0"/>
                <w:lang w:val="en-US" w:eastAsia="zh-CN" w:bidi="ar"/>
              </w:rPr>
              <w:t>35</w:t>
            </w:r>
          </w:p>
        </w:tc>
      </w:tr>
      <w:tr w14:paraId="18378CCB">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0710E7">
            <w:pPr>
              <w:widowControl/>
              <w:jc w:val="center"/>
              <w:rPr>
                <w:rFonts w:hint="default"/>
                <w:color w:val="000000"/>
                <w:lang w:val="en-US" w:eastAsia="zh-CN"/>
              </w:rPr>
            </w:pPr>
            <w:r>
              <w:rPr>
                <w:rFonts w:hint="eastAsia"/>
                <w:color w:val="000000"/>
                <w:lang w:val="en-US" w:eastAsia="zh-CN"/>
              </w:rPr>
              <w:t>5</w:t>
            </w:r>
          </w:p>
        </w:tc>
        <w:tc>
          <w:tcPr>
            <w:tcW w:w="1599" w:type="pct"/>
            <w:vMerge w:val="continue"/>
            <w:tcBorders>
              <w:left w:val="single" w:color="auto" w:sz="4" w:space="0"/>
              <w:bottom w:val="single" w:color="auto" w:sz="4" w:space="0"/>
              <w:right w:val="single" w:color="auto" w:sz="4" w:space="0"/>
            </w:tcBorders>
            <w:shd w:val="clear" w:color="auto" w:fill="auto"/>
            <w:noWrap/>
            <w:vAlign w:val="center"/>
          </w:tcPr>
          <w:p w14:paraId="40E2E8C9">
            <w:pPr>
              <w:keepNext w:val="0"/>
              <w:keepLines w:val="0"/>
              <w:widowControl/>
              <w:suppressLineNumbers w:val="0"/>
              <w:jc w:val="center"/>
              <w:textAlignment w:val="center"/>
              <w:rPr>
                <w:rFonts w:hint="eastAsia" w:ascii="宋体" w:hAnsi="宋体" w:cs="宋体"/>
                <w:color w:val="000000"/>
                <w:kern w:val="0"/>
                <w:lang w:val="en-US" w:eastAsia="zh-CN" w:bidi="ar"/>
              </w:rPr>
            </w:pP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6F6754">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白油加氢装置</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16606B73">
            <w:pPr>
              <w:keepNext w:val="0"/>
              <w:keepLines w:val="0"/>
              <w:widowControl/>
              <w:suppressLineNumbers w:val="0"/>
              <w:jc w:val="center"/>
              <w:textAlignment w:val="center"/>
              <w:rPr>
                <w:rFonts w:hint="default" w:cs="Arial Narrow"/>
                <w:color w:val="000000"/>
                <w:kern w:val="0"/>
                <w:lang w:val="en-US" w:eastAsia="zh-CN" w:bidi="ar"/>
              </w:rPr>
            </w:pPr>
            <w:r>
              <w:rPr>
                <w:rFonts w:hint="eastAsia" w:cs="Arial Narrow"/>
                <w:color w:val="000000"/>
                <w:kern w:val="0"/>
                <w:lang w:val="en-US" w:eastAsia="zh-CN" w:bidi="ar"/>
              </w:rPr>
              <w:t>8</w:t>
            </w:r>
          </w:p>
        </w:tc>
      </w:tr>
      <w:tr w14:paraId="757DE7A2">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21EF27">
            <w:pPr>
              <w:widowControl/>
              <w:jc w:val="center"/>
              <w:rPr>
                <w:rFonts w:hint="default"/>
                <w:color w:val="000000"/>
                <w:lang w:val="en-US" w:eastAsia="zh-CN"/>
              </w:rPr>
            </w:pPr>
            <w:r>
              <w:rPr>
                <w:rFonts w:hint="eastAsia"/>
                <w:color w:val="000000"/>
                <w:lang w:val="en-US" w:eastAsia="zh-CN"/>
              </w:rPr>
              <w:t>6</w:t>
            </w:r>
          </w:p>
        </w:tc>
        <w:tc>
          <w:tcPr>
            <w:tcW w:w="1599" w:type="pct"/>
            <w:vMerge w:val="restart"/>
            <w:tcBorders>
              <w:top w:val="single" w:color="auto" w:sz="4" w:space="0"/>
              <w:left w:val="single" w:color="auto" w:sz="4" w:space="0"/>
              <w:right w:val="single" w:color="auto" w:sz="4" w:space="0"/>
            </w:tcBorders>
            <w:shd w:val="clear" w:color="auto" w:fill="auto"/>
            <w:noWrap/>
            <w:vAlign w:val="center"/>
          </w:tcPr>
          <w:p w14:paraId="28EBBDCE">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化工一部</w:t>
            </w: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F0A420">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丙烯腈装置</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24517C19">
            <w:pPr>
              <w:keepNext w:val="0"/>
              <w:keepLines w:val="0"/>
              <w:widowControl/>
              <w:suppressLineNumbers w:val="0"/>
              <w:jc w:val="center"/>
              <w:textAlignment w:val="center"/>
              <w:rPr>
                <w:rFonts w:hint="default" w:cs="Arial Narrow"/>
                <w:color w:val="000000"/>
                <w:kern w:val="0"/>
                <w:lang w:val="en-US" w:eastAsia="zh-CN" w:bidi="ar"/>
              </w:rPr>
            </w:pPr>
            <w:r>
              <w:rPr>
                <w:rFonts w:hint="eastAsia" w:cs="Arial Narrow"/>
                <w:color w:val="000000"/>
                <w:kern w:val="0"/>
                <w:lang w:val="en-US" w:eastAsia="zh-CN" w:bidi="ar"/>
              </w:rPr>
              <w:t>14</w:t>
            </w:r>
          </w:p>
        </w:tc>
      </w:tr>
      <w:tr w14:paraId="1B593091">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B71E70">
            <w:pPr>
              <w:widowControl/>
              <w:jc w:val="center"/>
              <w:rPr>
                <w:rFonts w:hint="default"/>
                <w:color w:val="000000"/>
                <w:lang w:val="en-US" w:eastAsia="zh-CN"/>
              </w:rPr>
            </w:pPr>
            <w:r>
              <w:rPr>
                <w:rFonts w:hint="eastAsia"/>
                <w:color w:val="000000"/>
                <w:lang w:val="en-US" w:eastAsia="zh-CN"/>
              </w:rPr>
              <w:t>7</w:t>
            </w:r>
          </w:p>
        </w:tc>
        <w:tc>
          <w:tcPr>
            <w:tcW w:w="1599" w:type="pct"/>
            <w:vMerge w:val="continue"/>
            <w:tcBorders>
              <w:left w:val="single" w:color="auto" w:sz="4" w:space="0"/>
              <w:bottom w:val="single" w:color="auto" w:sz="4" w:space="0"/>
              <w:right w:val="single" w:color="auto" w:sz="4" w:space="0"/>
            </w:tcBorders>
            <w:shd w:val="clear" w:color="auto" w:fill="auto"/>
            <w:noWrap/>
            <w:vAlign w:val="center"/>
          </w:tcPr>
          <w:p w14:paraId="5CD74B99">
            <w:pPr>
              <w:keepNext w:val="0"/>
              <w:keepLines w:val="0"/>
              <w:widowControl/>
              <w:suppressLineNumbers w:val="0"/>
              <w:jc w:val="center"/>
              <w:textAlignment w:val="center"/>
              <w:rPr>
                <w:rFonts w:hint="eastAsia" w:ascii="宋体" w:hAnsi="宋体" w:cs="宋体"/>
                <w:color w:val="000000"/>
                <w:kern w:val="0"/>
                <w:lang w:val="en-US" w:eastAsia="zh-CN" w:bidi="ar"/>
              </w:rPr>
            </w:pP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553809">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生化装置</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43406D55">
            <w:pPr>
              <w:keepNext w:val="0"/>
              <w:keepLines w:val="0"/>
              <w:widowControl/>
              <w:suppressLineNumbers w:val="0"/>
              <w:jc w:val="center"/>
              <w:textAlignment w:val="center"/>
              <w:rPr>
                <w:rFonts w:hint="default" w:cs="Arial Narrow"/>
                <w:color w:val="000000"/>
                <w:kern w:val="0"/>
                <w:lang w:val="en-US" w:eastAsia="zh-CN" w:bidi="ar"/>
              </w:rPr>
            </w:pPr>
            <w:r>
              <w:rPr>
                <w:rFonts w:hint="eastAsia" w:cs="Arial Narrow"/>
                <w:color w:val="000000"/>
                <w:kern w:val="0"/>
                <w:lang w:val="en-US" w:eastAsia="zh-CN" w:bidi="ar"/>
              </w:rPr>
              <w:t>8</w:t>
            </w:r>
          </w:p>
        </w:tc>
      </w:tr>
      <w:tr w14:paraId="2803982A">
        <w:tblPrEx>
          <w:tblCellMar>
            <w:top w:w="0" w:type="dxa"/>
            <w:left w:w="108" w:type="dxa"/>
            <w:bottom w:w="0" w:type="dxa"/>
            <w:right w:w="108" w:type="dxa"/>
          </w:tblCellMar>
        </w:tblPrEx>
        <w:trPr>
          <w:trHeight w:val="454" w:hRule="atLeast"/>
          <w:jc w:val="center"/>
        </w:trPr>
        <w:tc>
          <w:tcPr>
            <w:tcW w:w="6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FEA53">
            <w:pPr>
              <w:widowControl/>
              <w:jc w:val="center"/>
              <w:rPr>
                <w:rFonts w:hint="eastAsia"/>
                <w:color w:val="000000"/>
                <w:lang w:val="en-US" w:eastAsia="zh-CN"/>
              </w:rPr>
            </w:pPr>
            <w:r>
              <w:rPr>
                <w:rFonts w:hint="eastAsia"/>
                <w:color w:val="000000"/>
                <w:lang w:val="en-US" w:eastAsia="zh-CN"/>
              </w:rPr>
              <w:t>8</w:t>
            </w:r>
          </w:p>
        </w:tc>
        <w:tc>
          <w:tcPr>
            <w:tcW w:w="19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26BC78">
            <w:pPr>
              <w:keepNext w:val="0"/>
              <w:keepLines w:val="0"/>
              <w:widowControl/>
              <w:suppressLineNumbers w:val="0"/>
              <w:jc w:val="center"/>
              <w:textAlignment w:val="center"/>
              <w:rPr>
                <w:rFonts w:hint="eastAsia" w:ascii="宋体" w:hAnsi="宋体" w:cs="宋体"/>
                <w:color w:val="000000"/>
                <w:kern w:val="0"/>
                <w:lang w:val="en-US" w:eastAsia="zh-CN" w:bidi="ar"/>
              </w:rPr>
            </w:pPr>
            <w:r>
              <w:rPr>
                <w:rFonts w:hint="eastAsia" w:ascii="宋体" w:hAnsi="宋体" w:cs="宋体"/>
                <w:color w:val="000000"/>
                <w:kern w:val="0"/>
                <w:lang w:val="en-US" w:eastAsia="zh-CN" w:bidi="ar"/>
              </w:rPr>
              <w:t>化工三部</w:t>
            </w:r>
          </w:p>
        </w:tc>
        <w:tc>
          <w:tcPr>
            <w:tcW w:w="19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715CC">
            <w:pPr>
              <w:keepNext w:val="0"/>
              <w:keepLines w:val="0"/>
              <w:widowControl/>
              <w:suppressLineNumbers w:val="0"/>
              <w:jc w:val="center"/>
              <w:textAlignment w:val="center"/>
              <w:rPr>
                <w:rFonts w:hint="eastAsia" w:ascii="宋体" w:hAnsi="宋体" w:cs="宋体"/>
                <w:color w:val="000000"/>
                <w:kern w:val="0"/>
                <w:lang w:val="en-US" w:eastAsia="zh-CN" w:bidi="ar"/>
              </w:rPr>
            </w:pPr>
            <w:r>
              <w:rPr>
                <w:rFonts w:hint="eastAsia" w:ascii="宋体" w:hAnsi="宋体" w:cs="宋体"/>
                <w:color w:val="000000"/>
                <w:kern w:val="0"/>
                <w:lang w:val="en-US" w:eastAsia="zh-CN" w:bidi="ar"/>
              </w:rPr>
              <w:t>一套聚丙烯装置</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4C79E877">
            <w:pPr>
              <w:keepNext w:val="0"/>
              <w:keepLines w:val="0"/>
              <w:widowControl/>
              <w:suppressLineNumbers w:val="0"/>
              <w:jc w:val="center"/>
              <w:textAlignment w:val="center"/>
              <w:rPr>
                <w:rFonts w:hint="eastAsia" w:cs="Arial Narrow"/>
                <w:color w:val="000000"/>
                <w:kern w:val="0"/>
                <w:lang w:val="en-US" w:eastAsia="zh-CN" w:bidi="ar"/>
              </w:rPr>
            </w:pPr>
            <w:r>
              <w:rPr>
                <w:rFonts w:hint="eastAsia" w:cs="Arial Narrow"/>
                <w:color w:val="000000"/>
                <w:kern w:val="0"/>
                <w:lang w:val="en-US" w:eastAsia="zh-CN" w:bidi="ar"/>
              </w:rPr>
              <w:t>35</w:t>
            </w:r>
          </w:p>
        </w:tc>
      </w:tr>
      <w:tr w14:paraId="15B41078">
        <w:tblPrEx>
          <w:tblCellMar>
            <w:top w:w="0" w:type="dxa"/>
            <w:left w:w="108" w:type="dxa"/>
            <w:bottom w:w="0" w:type="dxa"/>
            <w:right w:w="108" w:type="dxa"/>
          </w:tblCellMar>
        </w:tblPrEx>
        <w:trPr>
          <w:trHeight w:val="454" w:hRule="atLeast"/>
          <w:jc w:val="center"/>
        </w:trPr>
        <w:tc>
          <w:tcPr>
            <w:tcW w:w="5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C005AB">
            <w:pPr>
              <w:widowControl/>
              <w:jc w:val="center"/>
              <w:rPr>
                <w:rFonts w:hint="default"/>
                <w:color w:val="000000"/>
                <w:lang w:val="en-US" w:eastAsia="zh-CN"/>
              </w:rPr>
            </w:pPr>
            <w:r>
              <w:rPr>
                <w:rFonts w:hint="eastAsia"/>
                <w:color w:val="000000"/>
                <w:lang w:val="en-US" w:eastAsia="zh-CN"/>
              </w:rPr>
              <w:t>8</w:t>
            </w:r>
          </w:p>
        </w:tc>
        <w:tc>
          <w:tcPr>
            <w:tcW w:w="15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212967">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储运部</w:t>
            </w:r>
          </w:p>
        </w:tc>
        <w:tc>
          <w:tcPr>
            <w:tcW w:w="16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0B9AB2">
            <w:pPr>
              <w:keepNext w:val="0"/>
              <w:keepLines w:val="0"/>
              <w:widowControl/>
              <w:suppressLineNumbers w:val="0"/>
              <w:jc w:val="center"/>
              <w:textAlignment w:val="center"/>
              <w:rPr>
                <w:rFonts w:hint="default" w:ascii="宋体" w:hAnsi="宋体" w:cs="宋体"/>
                <w:color w:val="000000"/>
                <w:kern w:val="0"/>
                <w:lang w:val="en-US" w:eastAsia="zh-CN" w:bidi="ar"/>
              </w:rPr>
            </w:pPr>
            <w:r>
              <w:rPr>
                <w:rFonts w:hint="eastAsia" w:ascii="宋体" w:hAnsi="宋体" w:cs="宋体"/>
                <w:color w:val="000000"/>
                <w:kern w:val="0"/>
                <w:lang w:val="en-US" w:eastAsia="zh-CN" w:bidi="ar"/>
              </w:rPr>
              <w:t>液态烃系统</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37E57F4D">
            <w:pPr>
              <w:keepNext w:val="0"/>
              <w:keepLines w:val="0"/>
              <w:widowControl/>
              <w:suppressLineNumbers w:val="0"/>
              <w:jc w:val="center"/>
              <w:textAlignment w:val="center"/>
              <w:rPr>
                <w:rFonts w:hint="default" w:cs="Arial Narrow"/>
                <w:color w:val="000000"/>
                <w:kern w:val="0"/>
                <w:lang w:val="en-US" w:eastAsia="zh-CN" w:bidi="ar"/>
              </w:rPr>
            </w:pPr>
            <w:r>
              <w:rPr>
                <w:rFonts w:hint="eastAsia" w:cs="Arial Narrow"/>
                <w:color w:val="000000"/>
                <w:kern w:val="0"/>
                <w:lang w:val="en-US" w:eastAsia="zh-CN" w:bidi="ar"/>
              </w:rPr>
              <w:t>62</w:t>
            </w:r>
          </w:p>
        </w:tc>
      </w:tr>
      <w:tr w14:paraId="487F4397">
        <w:tblPrEx>
          <w:tblCellMar>
            <w:top w:w="0" w:type="dxa"/>
            <w:left w:w="108" w:type="dxa"/>
            <w:bottom w:w="0" w:type="dxa"/>
            <w:right w:w="108" w:type="dxa"/>
          </w:tblCellMar>
        </w:tblPrEx>
        <w:trPr>
          <w:trHeight w:val="454" w:hRule="atLeast"/>
          <w:jc w:val="center"/>
        </w:trPr>
        <w:tc>
          <w:tcPr>
            <w:tcW w:w="3781"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544E68A">
            <w:pPr>
              <w:widowControl/>
              <w:jc w:val="center"/>
              <w:rPr>
                <w:color w:val="000000"/>
              </w:rPr>
            </w:pPr>
            <w:r>
              <w:rPr>
                <w:rFonts w:hint="eastAsia"/>
                <w:color w:val="000000"/>
              </w:rPr>
              <w:t>合计</w:t>
            </w:r>
          </w:p>
        </w:tc>
        <w:tc>
          <w:tcPr>
            <w:tcW w:w="1218" w:type="pct"/>
            <w:tcBorders>
              <w:top w:val="single" w:color="auto" w:sz="4" w:space="0"/>
              <w:left w:val="single" w:color="auto" w:sz="4" w:space="0"/>
              <w:bottom w:val="single" w:color="auto" w:sz="4" w:space="0"/>
              <w:right w:val="single" w:color="auto" w:sz="4" w:space="0"/>
            </w:tcBorders>
            <w:shd w:val="clear" w:color="auto" w:fill="auto"/>
            <w:vAlign w:val="center"/>
          </w:tcPr>
          <w:p w14:paraId="7F4D0329">
            <w:pPr>
              <w:widowControl/>
              <w:jc w:val="center"/>
              <w:rPr>
                <w:rFonts w:hint="default" w:eastAsia="宋体" w:cs="宋体"/>
                <w:b/>
                <w:bCs/>
                <w:color w:val="000000"/>
                <w:kern w:val="0"/>
                <w:lang w:val="en-US" w:eastAsia="zh-CN"/>
              </w:rPr>
            </w:pPr>
            <w:r>
              <w:rPr>
                <w:rFonts w:hint="eastAsia" w:cs="宋体"/>
                <w:b/>
                <w:bCs/>
                <w:color w:val="000000"/>
                <w:kern w:val="0"/>
                <w:lang w:val="en-US" w:eastAsia="zh-CN"/>
              </w:rPr>
              <w:t>190</w:t>
            </w:r>
          </w:p>
        </w:tc>
      </w:tr>
      <w:bookmarkEnd w:id="32"/>
    </w:tbl>
    <w:p w14:paraId="5550CFE5">
      <w:pPr>
        <w:pStyle w:val="3"/>
        <w:tabs>
          <w:tab w:val="left" w:pos="360"/>
          <w:tab w:val="clear" w:pos="480"/>
        </w:tabs>
        <w:spacing w:before="115" w:beforeLines="25" w:after="115" w:afterLines="25"/>
        <w:rPr>
          <w:color w:val="000000"/>
        </w:rPr>
      </w:pPr>
      <w:bookmarkStart w:id="35" w:name="_Hlt145297529"/>
      <w:bookmarkEnd w:id="35"/>
      <w:r>
        <w:rPr>
          <w:rFonts w:hint="eastAsia"/>
          <w:color w:val="000000"/>
        </w:rPr>
        <w:t>5</w:t>
      </w:r>
      <w:r>
        <w:rPr>
          <w:color w:val="000000"/>
        </w:rPr>
        <w:t>.2</w:t>
      </w:r>
      <w:r>
        <w:rPr>
          <w:rFonts w:hint="eastAsia"/>
          <w:color w:val="000000"/>
        </w:rPr>
        <w:t xml:space="preserve"> 安全阀</w:t>
      </w:r>
      <w:r>
        <w:rPr>
          <w:color w:val="000000"/>
        </w:rPr>
        <w:t>运行状况、</w:t>
      </w:r>
      <w:r>
        <w:rPr>
          <w:rFonts w:hint="eastAsia"/>
          <w:color w:val="000000"/>
        </w:rPr>
        <w:t>校</w:t>
      </w:r>
      <w:r>
        <w:rPr>
          <w:color w:val="000000"/>
        </w:rPr>
        <w:t>验历史</w:t>
      </w:r>
      <w:bookmarkEnd w:id="33"/>
      <w:r>
        <w:rPr>
          <w:rFonts w:hint="eastAsia"/>
          <w:color w:val="000000"/>
        </w:rPr>
        <w:t>与检验周期</w:t>
      </w:r>
      <w:bookmarkEnd w:id="34"/>
    </w:p>
    <w:p w14:paraId="18446E71">
      <w:pPr>
        <w:ind w:firstLine="480" w:firstLineChars="200"/>
        <w:rPr>
          <w:bCs/>
          <w:color w:val="000000"/>
        </w:rPr>
      </w:pPr>
      <w:bookmarkStart w:id="36" w:name="_Toc68772924"/>
      <w:bookmarkStart w:id="37" w:name="_Toc102149422"/>
      <w:bookmarkStart w:id="38" w:name="_Toc98261463"/>
      <w:r>
        <w:rPr>
          <w:rFonts w:hint="eastAsia"/>
          <w:bCs/>
          <w:color w:val="000000"/>
        </w:rPr>
        <w:t>本厂安全阀在评估前都按安全阀校验周期要求进行校验，无超期未校现象。通过本次评估，拟将安全阀根据风险水平分期校验。</w:t>
      </w:r>
    </w:p>
    <w:bookmarkEnd w:id="36"/>
    <w:bookmarkEnd w:id="37"/>
    <w:bookmarkEnd w:id="38"/>
    <w:p w14:paraId="144DAE42">
      <w:pPr>
        <w:pStyle w:val="2"/>
        <w:tabs>
          <w:tab w:val="clear" w:pos="480"/>
        </w:tabs>
        <w:spacing w:before="230" w:beforeLines="0" w:after="230" w:afterLines="0"/>
        <w:rPr>
          <w:color w:val="000000"/>
          <w:kern w:val="2"/>
          <w:sz w:val="28"/>
        </w:rPr>
      </w:pPr>
      <w:bookmarkStart w:id="39" w:name="_Toc185152209"/>
      <w:bookmarkStart w:id="40" w:name="_Toc98261472"/>
      <w:r>
        <w:rPr>
          <w:rFonts w:hint="eastAsia"/>
          <w:color w:val="000000"/>
          <w:kern w:val="2"/>
          <w:sz w:val="28"/>
        </w:rPr>
        <w:t>6</w:t>
      </w:r>
      <w:r>
        <w:rPr>
          <w:color w:val="000000"/>
          <w:kern w:val="2"/>
          <w:sz w:val="28"/>
        </w:rPr>
        <w:t>.</w:t>
      </w:r>
      <w:r>
        <w:rPr>
          <w:rFonts w:hint="eastAsia"/>
          <w:color w:val="000000"/>
          <w:kern w:val="2"/>
          <w:sz w:val="28"/>
        </w:rPr>
        <w:t xml:space="preserve"> </w:t>
      </w:r>
      <w:r>
        <w:rPr>
          <w:color w:val="000000"/>
          <w:kern w:val="2"/>
          <w:sz w:val="28"/>
        </w:rPr>
        <w:t>风险分析结果</w:t>
      </w:r>
      <w:bookmarkEnd w:id="39"/>
      <w:bookmarkEnd w:id="40"/>
    </w:p>
    <w:p w14:paraId="0322DF37">
      <w:pPr>
        <w:pStyle w:val="3"/>
        <w:tabs>
          <w:tab w:val="left" w:pos="360"/>
          <w:tab w:val="clear" w:pos="480"/>
        </w:tabs>
        <w:spacing w:before="115" w:beforeLines="25" w:after="115" w:afterLines="25"/>
        <w:rPr>
          <w:bCs w:val="0"/>
          <w:color w:val="000000"/>
          <w:szCs w:val="24"/>
        </w:rPr>
      </w:pPr>
      <w:bookmarkStart w:id="41" w:name="_Toc401297826"/>
      <w:bookmarkStart w:id="42" w:name="_Toc185152210"/>
      <w:r>
        <w:rPr>
          <w:rFonts w:hint="eastAsia"/>
          <w:bCs w:val="0"/>
          <w:color w:val="000000"/>
          <w:szCs w:val="24"/>
        </w:rPr>
        <w:t xml:space="preserve">6.1 </w:t>
      </w:r>
      <w:r>
        <w:rPr>
          <w:color w:val="000000"/>
          <w:szCs w:val="24"/>
        </w:rPr>
        <w:t>风险</w:t>
      </w:r>
      <w:r>
        <w:rPr>
          <w:bCs w:val="0"/>
          <w:color w:val="000000"/>
          <w:szCs w:val="24"/>
        </w:rPr>
        <w:t>分布</w:t>
      </w:r>
      <w:bookmarkEnd w:id="41"/>
      <w:bookmarkEnd w:id="42"/>
    </w:p>
    <w:p w14:paraId="6BD9EE29">
      <w:pPr>
        <w:ind w:firstLine="420"/>
      </w:pPr>
      <w:r>
        <w:rPr>
          <w:rFonts w:hint="eastAsia"/>
        </w:rPr>
        <w:t>本次所评</w:t>
      </w:r>
      <w:r>
        <w:rPr>
          <w:rFonts w:hint="eastAsia"/>
          <w:lang w:val="en-US" w:eastAsia="zh-CN"/>
        </w:rPr>
        <w:t>大庆炼化190</w:t>
      </w:r>
      <w:r>
        <w:rPr>
          <w:rFonts w:hint="eastAsia"/>
        </w:rPr>
        <w:t>台安全阀自最近一次校验后1-5年风险分布的风险矩阵见图6-1至图6-5所示。</w:t>
      </w:r>
    </w:p>
    <w:p w14:paraId="2292890B">
      <w:r>
        <w:rPr>
          <w:rFonts w:hint="eastAsia"/>
        </w:rPr>
        <w:t>6.1.1</w:t>
      </w:r>
      <w:r>
        <w:t xml:space="preserve"> </w:t>
      </w:r>
      <w:r>
        <w:rPr>
          <w:rFonts w:hint="eastAsia"/>
        </w:rPr>
        <w:t xml:space="preserve"> 自校验日期1年后风险分布</w:t>
      </w:r>
    </w:p>
    <w:p w14:paraId="6AA035FF">
      <w:pPr>
        <w:ind w:firstLine="420"/>
      </w:pPr>
      <w:r>
        <w:rPr>
          <w:rFonts w:hint="eastAsia"/>
        </w:rPr>
        <w:t>1年后安全阀风险分布情况如图6-1所示，从图中可以看出：高风险安全阀0台，中高风险安全阀</w:t>
      </w:r>
      <w:r>
        <w:rPr>
          <w:rFonts w:hint="eastAsia"/>
          <w:lang w:val="en-US" w:eastAsia="zh-CN"/>
        </w:rPr>
        <w:t>94</w:t>
      </w:r>
      <w:r>
        <w:rPr>
          <w:rFonts w:hint="eastAsia"/>
        </w:rPr>
        <w:t>台，中风险安全阀</w:t>
      </w:r>
      <w:r>
        <w:rPr>
          <w:rFonts w:hint="eastAsia"/>
          <w:lang w:val="en-US" w:eastAsia="zh-CN"/>
        </w:rPr>
        <w:t>53</w:t>
      </w:r>
      <w:r>
        <w:rPr>
          <w:rFonts w:hint="eastAsia"/>
        </w:rPr>
        <w:t>台，低风险安全阀</w:t>
      </w:r>
      <w:r>
        <w:rPr>
          <w:rFonts w:hint="eastAsia"/>
          <w:lang w:val="en-US" w:eastAsia="zh-CN"/>
        </w:rPr>
        <w:t>43</w:t>
      </w:r>
      <w:r>
        <w:rPr>
          <w:rFonts w:hint="eastAsia"/>
        </w:rPr>
        <w:t>台。详细风险水平见附录2。</w:t>
      </w:r>
    </w:p>
    <w:p w14:paraId="1F447106">
      <w:pPr>
        <w:jc w:val="center"/>
        <w:rPr>
          <w:rFonts w:hint="eastAsia" w:eastAsia="宋体"/>
          <w:lang w:eastAsia="zh-CN"/>
        </w:rPr>
      </w:pPr>
      <w:r>
        <w:rPr>
          <w:rFonts w:hint="eastAsia" w:eastAsia="宋体"/>
          <w:lang w:eastAsia="zh-CN"/>
        </w:rPr>
        <w:drawing>
          <wp:inline distT="0" distB="0" distL="114300" distR="114300">
            <wp:extent cx="5572125" cy="2538730"/>
            <wp:effectExtent l="0" t="0" r="1905" b="8255"/>
            <wp:docPr id="1" name="图片 1" descr="1年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年后"/>
                    <pic:cNvPicPr>
                      <a:picLocks noChangeAspect="1"/>
                    </pic:cNvPicPr>
                  </pic:nvPicPr>
                  <pic:blipFill>
                    <a:blip r:embed="rId8"/>
                    <a:stretch>
                      <a:fillRect/>
                    </a:stretch>
                  </pic:blipFill>
                  <pic:spPr>
                    <a:xfrm>
                      <a:off x="0" y="0"/>
                      <a:ext cx="5572125" cy="2538730"/>
                    </a:xfrm>
                    <a:prstGeom prst="rect">
                      <a:avLst/>
                    </a:prstGeom>
                  </pic:spPr>
                </pic:pic>
              </a:graphicData>
            </a:graphic>
          </wp:inline>
        </w:drawing>
      </w:r>
    </w:p>
    <w:p w14:paraId="1FB0B08C">
      <w:pPr>
        <w:keepNext w:val="0"/>
        <w:keepLines w:val="0"/>
        <w:pageBreakBefore w:val="0"/>
        <w:widowControl w:val="0"/>
        <w:kinsoku/>
        <w:wordWrap/>
        <w:overflowPunct/>
        <w:topLinePunct w:val="0"/>
        <w:autoSpaceDE/>
        <w:autoSpaceDN/>
        <w:bidi w:val="0"/>
        <w:adjustRightInd/>
        <w:snapToGrid/>
        <w:ind w:right="0" w:rightChars="0"/>
        <w:jc w:val="center"/>
        <w:textAlignment w:val="auto"/>
        <w:rPr>
          <w:bCs/>
          <w:color w:val="000000"/>
        </w:rPr>
      </w:pPr>
      <w:r>
        <w:rPr>
          <w:rFonts w:hint="eastAsia"/>
          <w:bCs/>
          <w:color w:val="000000"/>
        </w:rPr>
        <w:t xml:space="preserve">图6-1   </w:t>
      </w:r>
      <w:r>
        <w:rPr>
          <w:rFonts w:hint="eastAsia"/>
        </w:rPr>
        <w:t>1年后</w:t>
      </w:r>
      <w:r>
        <w:rPr>
          <w:rFonts w:hint="eastAsia"/>
          <w:bCs/>
          <w:color w:val="000000"/>
        </w:rPr>
        <w:t>安全阀风险分布图</w:t>
      </w:r>
    </w:p>
    <w:p w14:paraId="5871BBA2">
      <w:r>
        <w:rPr>
          <w:rFonts w:hint="eastAsia"/>
        </w:rPr>
        <w:t>6.1.2 自校验日期</w:t>
      </w:r>
      <w:r>
        <w:t>2</w:t>
      </w:r>
      <w:r>
        <w:rPr>
          <w:rFonts w:hint="eastAsia"/>
        </w:rPr>
        <w:t>年后风险分布</w:t>
      </w:r>
    </w:p>
    <w:p w14:paraId="1E38085A">
      <w:pPr>
        <w:ind w:firstLine="420"/>
      </w:pPr>
      <w:r>
        <w:t>2</w:t>
      </w:r>
      <w:r>
        <w:rPr>
          <w:rFonts w:hint="eastAsia"/>
        </w:rPr>
        <w:t>年后安全阀风险分布情况如图6-2所示，从图中可以看出：高风险安全阀0台，中高风险安全阀</w:t>
      </w:r>
      <w:r>
        <w:rPr>
          <w:rFonts w:hint="eastAsia"/>
          <w:lang w:val="en-US" w:eastAsia="zh-CN"/>
        </w:rPr>
        <w:t>94</w:t>
      </w:r>
      <w:r>
        <w:rPr>
          <w:rFonts w:hint="eastAsia"/>
        </w:rPr>
        <w:t>台，中风险安全阀</w:t>
      </w:r>
      <w:r>
        <w:rPr>
          <w:rFonts w:hint="eastAsia"/>
          <w:lang w:val="en-US" w:eastAsia="zh-CN"/>
        </w:rPr>
        <w:t>53</w:t>
      </w:r>
      <w:r>
        <w:rPr>
          <w:rFonts w:hint="eastAsia"/>
        </w:rPr>
        <w:t>台，低风险安全阀</w:t>
      </w:r>
      <w:r>
        <w:rPr>
          <w:rFonts w:hint="eastAsia"/>
          <w:lang w:val="en-US" w:eastAsia="zh-CN"/>
        </w:rPr>
        <w:t>43</w:t>
      </w:r>
      <w:r>
        <w:rPr>
          <w:rFonts w:hint="eastAsia"/>
        </w:rPr>
        <w:t>台。详细风险水平见附录2。</w:t>
      </w:r>
    </w:p>
    <w:p w14:paraId="66A517A5">
      <w:pPr>
        <w:autoSpaceDE w:val="0"/>
        <w:autoSpaceDN w:val="0"/>
        <w:spacing w:line="360" w:lineRule="auto"/>
        <w:jc w:val="center"/>
        <w:rPr>
          <w:rFonts w:hint="eastAsia" w:eastAsia="宋体"/>
          <w:lang w:eastAsia="zh-CN"/>
        </w:rPr>
      </w:pPr>
      <w:r>
        <w:rPr>
          <w:rFonts w:hint="eastAsia" w:eastAsia="宋体"/>
          <w:lang w:eastAsia="zh-CN"/>
        </w:rPr>
        <w:drawing>
          <wp:inline distT="0" distB="0" distL="114300" distR="114300">
            <wp:extent cx="5572125" cy="2538730"/>
            <wp:effectExtent l="0" t="0" r="1905" b="8255"/>
            <wp:docPr id="2" name="图片 2" descr="2年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年后"/>
                    <pic:cNvPicPr>
                      <a:picLocks noChangeAspect="1"/>
                    </pic:cNvPicPr>
                  </pic:nvPicPr>
                  <pic:blipFill>
                    <a:blip r:embed="rId9"/>
                    <a:stretch>
                      <a:fillRect/>
                    </a:stretch>
                  </pic:blipFill>
                  <pic:spPr>
                    <a:xfrm>
                      <a:off x="0" y="0"/>
                      <a:ext cx="5572125" cy="2538730"/>
                    </a:xfrm>
                    <a:prstGeom prst="rect">
                      <a:avLst/>
                    </a:prstGeom>
                  </pic:spPr>
                </pic:pic>
              </a:graphicData>
            </a:graphic>
          </wp:inline>
        </w:drawing>
      </w:r>
    </w:p>
    <w:p w14:paraId="6689028F">
      <w:pPr>
        <w:autoSpaceDE w:val="0"/>
        <w:autoSpaceDN w:val="0"/>
        <w:spacing w:line="360" w:lineRule="auto"/>
        <w:jc w:val="center"/>
        <w:rPr>
          <w:bCs/>
          <w:color w:val="000000"/>
        </w:rPr>
      </w:pPr>
      <w:r>
        <w:rPr>
          <w:rFonts w:hint="eastAsia"/>
          <w:bCs/>
          <w:color w:val="000000"/>
        </w:rPr>
        <w:t xml:space="preserve">图6-2   </w:t>
      </w:r>
      <w:r>
        <w:rPr>
          <w:bCs/>
          <w:color w:val="000000"/>
        </w:rPr>
        <w:t>2</w:t>
      </w:r>
      <w:r>
        <w:rPr>
          <w:rFonts w:hint="eastAsia"/>
          <w:bCs/>
          <w:color w:val="000000"/>
        </w:rPr>
        <w:t>年后安全阀风险分布图</w:t>
      </w:r>
    </w:p>
    <w:p w14:paraId="31341E30">
      <w:r>
        <w:rPr>
          <w:rFonts w:hint="eastAsia"/>
        </w:rPr>
        <w:t>6.1.3  自校验日期</w:t>
      </w:r>
      <w:r>
        <w:t>3</w:t>
      </w:r>
      <w:r>
        <w:rPr>
          <w:rFonts w:hint="eastAsia"/>
        </w:rPr>
        <w:t>年后风险分布</w:t>
      </w:r>
    </w:p>
    <w:p w14:paraId="3776E30A">
      <w:pPr>
        <w:ind w:firstLine="420"/>
      </w:pPr>
      <w:r>
        <w:t>3</w:t>
      </w:r>
      <w:r>
        <w:rPr>
          <w:rFonts w:hint="eastAsia"/>
        </w:rPr>
        <w:t>年后安全阀风险分布情况如图6-3所示，从图中可以看出：高风险安全阀0台，中高风险安全阀</w:t>
      </w:r>
      <w:r>
        <w:rPr>
          <w:rFonts w:hint="eastAsia"/>
          <w:lang w:val="en-US" w:eastAsia="zh-CN"/>
        </w:rPr>
        <w:t>94</w:t>
      </w:r>
      <w:r>
        <w:rPr>
          <w:rFonts w:hint="eastAsia"/>
        </w:rPr>
        <w:t>台，中风险安全阀</w:t>
      </w:r>
      <w:r>
        <w:rPr>
          <w:rFonts w:hint="eastAsia"/>
          <w:lang w:val="en-US" w:eastAsia="zh-CN"/>
        </w:rPr>
        <w:t>53</w:t>
      </w:r>
      <w:r>
        <w:rPr>
          <w:rFonts w:hint="eastAsia"/>
        </w:rPr>
        <w:t>台，低风险安全阀</w:t>
      </w:r>
      <w:r>
        <w:rPr>
          <w:rFonts w:hint="eastAsia"/>
          <w:lang w:val="en-US" w:eastAsia="zh-CN"/>
        </w:rPr>
        <w:t>43</w:t>
      </w:r>
      <w:r>
        <w:rPr>
          <w:rFonts w:hint="eastAsia"/>
        </w:rPr>
        <w:t>台。详细风险水平见附录2。</w:t>
      </w:r>
    </w:p>
    <w:p w14:paraId="66F0DB09">
      <w:pPr>
        <w:autoSpaceDE w:val="0"/>
        <w:autoSpaceDN w:val="0"/>
        <w:spacing w:line="360" w:lineRule="auto"/>
        <w:jc w:val="center"/>
        <w:rPr>
          <w:rFonts w:hint="eastAsia" w:eastAsia="宋体"/>
          <w:lang w:eastAsia="zh-CN"/>
        </w:rPr>
      </w:pPr>
      <w:r>
        <w:rPr>
          <w:rFonts w:hint="eastAsia" w:eastAsia="宋体"/>
          <w:lang w:eastAsia="zh-CN"/>
        </w:rPr>
        <w:drawing>
          <wp:inline distT="0" distB="0" distL="114300" distR="114300">
            <wp:extent cx="5572125" cy="2538730"/>
            <wp:effectExtent l="0" t="0" r="1905" b="8255"/>
            <wp:docPr id="3" name="图片 3" descr="3年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年后"/>
                    <pic:cNvPicPr>
                      <a:picLocks noChangeAspect="1"/>
                    </pic:cNvPicPr>
                  </pic:nvPicPr>
                  <pic:blipFill>
                    <a:blip r:embed="rId10"/>
                    <a:stretch>
                      <a:fillRect/>
                    </a:stretch>
                  </pic:blipFill>
                  <pic:spPr>
                    <a:xfrm>
                      <a:off x="0" y="0"/>
                      <a:ext cx="5572125" cy="2538730"/>
                    </a:xfrm>
                    <a:prstGeom prst="rect">
                      <a:avLst/>
                    </a:prstGeom>
                  </pic:spPr>
                </pic:pic>
              </a:graphicData>
            </a:graphic>
          </wp:inline>
        </w:drawing>
      </w:r>
    </w:p>
    <w:p w14:paraId="410FD165">
      <w:pPr>
        <w:autoSpaceDE w:val="0"/>
        <w:autoSpaceDN w:val="0"/>
        <w:spacing w:line="360" w:lineRule="auto"/>
        <w:jc w:val="center"/>
        <w:rPr>
          <w:bCs/>
          <w:color w:val="000000"/>
        </w:rPr>
      </w:pPr>
      <w:r>
        <w:rPr>
          <w:rFonts w:hint="eastAsia"/>
          <w:bCs/>
          <w:color w:val="000000"/>
        </w:rPr>
        <w:t xml:space="preserve">图6-3   </w:t>
      </w:r>
      <w:r>
        <w:rPr>
          <w:bCs/>
          <w:color w:val="000000"/>
        </w:rPr>
        <w:t>3</w:t>
      </w:r>
      <w:r>
        <w:rPr>
          <w:rFonts w:hint="eastAsia"/>
          <w:bCs/>
          <w:color w:val="000000"/>
        </w:rPr>
        <w:t>年后安全阀风险分布图</w:t>
      </w:r>
    </w:p>
    <w:p w14:paraId="16E0E377">
      <w:r>
        <w:rPr>
          <w:rFonts w:hint="eastAsia"/>
        </w:rPr>
        <w:t>6.1.4  自校验日期</w:t>
      </w:r>
      <w:r>
        <w:t>4</w:t>
      </w:r>
      <w:r>
        <w:rPr>
          <w:rFonts w:hint="eastAsia"/>
        </w:rPr>
        <w:t>年后风险分布</w:t>
      </w:r>
    </w:p>
    <w:p w14:paraId="4C83028E">
      <w:pPr>
        <w:ind w:firstLine="420"/>
      </w:pPr>
      <w:r>
        <w:t>4</w:t>
      </w:r>
      <w:r>
        <w:rPr>
          <w:rFonts w:hint="eastAsia"/>
        </w:rPr>
        <w:t>年后安全阀风险分布情况如图6-4所示，从图中可以看出：高风险安全阀0台，中高风险安全阀</w:t>
      </w:r>
      <w:r>
        <w:rPr>
          <w:rFonts w:hint="eastAsia"/>
          <w:lang w:val="en-US" w:eastAsia="zh-CN"/>
        </w:rPr>
        <w:t>94</w:t>
      </w:r>
      <w:r>
        <w:rPr>
          <w:rFonts w:hint="eastAsia"/>
        </w:rPr>
        <w:t>台，中风险安全阀</w:t>
      </w:r>
      <w:r>
        <w:rPr>
          <w:rFonts w:hint="eastAsia"/>
          <w:lang w:val="en-US" w:eastAsia="zh-CN"/>
        </w:rPr>
        <w:t>57</w:t>
      </w:r>
      <w:r>
        <w:rPr>
          <w:rFonts w:hint="eastAsia"/>
        </w:rPr>
        <w:t>台，低风险安全阀</w:t>
      </w:r>
      <w:r>
        <w:rPr>
          <w:rFonts w:hint="eastAsia"/>
          <w:lang w:val="en-US" w:eastAsia="zh-CN"/>
        </w:rPr>
        <w:t>39</w:t>
      </w:r>
      <w:r>
        <w:rPr>
          <w:rFonts w:hint="eastAsia"/>
        </w:rPr>
        <w:t>台。详细风险水平见附录2。</w:t>
      </w:r>
    </w:p>
    <w:p w14:paraId="5905CF83">
      <w:pPr>
        <w:autoSpaceDE w:val="0"/>
        <w:autoSpaceDN w:val="0"/>
        <w:spacing w:line="360" w:lineRule="auto"/>
        <w:jc w:val="center"/>
        <w:rPr>
          <w:rFonts w:hint="eastAsia" w:eastAsia="宋体"/>
          <w:lang w:eastAsia="zh-CN"/>
        </w:rPr>
      </w:pPr>
      <w:r>
        <w:rPr>
          <w:rFonts w:hint="eastAsia" w:eastAsia="宋体"/>
          <w:lang w:eastAsia="zh-CN"/>
        </w:rPr>
        <w:drawing>
          <wp:inline distT="0" distB="0" distL="114300" distR="114300">
            <wp:extent cx="5572125" cy="2538730"/>
            <wp:effectExtent l="0" t="0" r="1905" b="8255"/>
            <wp:docPr id="4" name="图片 4" descr="4年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年后"/>
                    <pic:cNvPicPr>
                      <a:picLocks noChangeAspect="1"/>
                    </pic:cNvPicPr>
                  </pic:nvPicPr>
                  <pic:blipFill>
                    <a:blip r:embed="rId11"/>
                    <a:stretch>
                      <a:fillRect/>
                    </a:stretch>
                  </pic:blipFill>
                  <pic:spPr>
                    <a:xfrm>
                      <a:off x="0" y="0"/>
                      <a:ext cx="5572125" cy="2538730"/>
                    </a:xfrm>
                    <a:prstGeom prst="rect">
                      <a:avLst/>
                    </a:prstGeom>
                  </pic:spPr>
                </pic:pic>
              </a:graphicData>
            </a:graphic>
          </wp:inline>
        </w:drawing>
      </w:r>
    </w:p>
    <w:p w14:paraId="4EF6AAD5">
      <w:pPr>
        <w:autoSpaceDE w:val="0"/>
        <w:autoSpaceDN w:val="0"/>
        <w:spacing w:line="360" w:lineRule="auto"/>
        <w:jc w:val="center"/>
        <w:rPr>
          <w:bCs/>
          <w:color w:val="000000"/>
        </w:rPr>
      </w:pPr>
      <w:r>
        <w:rPr>
          <w:rFonts w:hint="eastAsia"/>
          <w:bCs/>
          <w:color w:val="000000"/>
        </w:rPr>
        <w:t xml:space="preserve">图6-4   </w:t>
      </w:r>
      <w:r>
        <w:rPr>
          <w:bCs/>
          <w:color w:val="000000"/>
        </w:rPr>
        <w:t>4</w:t>
      </w:r>
      <w:r>
        <w:rPr>
          <w:rFonts w:hint="eastAsia"/>
          <w:bCs/>
          <w:color w:val="000000"/>
        </w:rPr>
        <w:t>年后安全阀风险分布图</w:t>
      </w:r>
    </w:p>
    <w:p w14:paraId="680489D7">
      <w:r>
        <w:rPr>
          <w:rFonts w:hint="eastAsia"/>
        </w:rPr>
        <w:t>6.1.5  自校验日期</w:t>
      </w:r>
      <w:r>
        <w:t>5</w:t>
      </w:r>
      <w:r>
        <w:rPr>
          <w:rFonts w:hint="eastAsia"/>
        </w:rPr>
        <w:t>年后风险分布</w:t>
      </w:r>
    </w:p>
    <w:p w14:paraId="1128DC7E">
      <w:pPr>
        <w:ind w:firstLine="420"/>
      </w:pPr>
      <w:r>
        <w:t>5</w:t>
      </w:r>
      <w:r>
        <w:rPr>
          <w:rFonts w:hint="eastAsia"/>
        </w:rPr>
        <w:t>年后安全阀风险分布情况如图6-5所示，从图中可以看出：高风险安全阀0台，中高风险安全阀</w:t>
      </w:r>
      <w:r>
        <w:rPr>
          <w:rFonts w:hint="eastAsia"/>
          <w:lang w:val="en-US" w:eastAsia="zh-CN"/>
        </w:rPr>
        <w:t>96</w:t>
      </w:r>
      <w:r>
        <w:rPr>
          <w:rFonts w:hint="eastAsia"/>
        </w:rPr>
        <w:t>台，中风险安全阀</w:t>
      </w:r>
      <w:r>
        <w:rPr>
          <w:rFonts w:hint="eastAsia"/>
          <w:lang w:val="en-US" w:eastAsia="zh-CN"/>
        </w:rPr>
        <w:t>55</w:t>
      </w:r>
      <w:r>
        <w:rPr>
          <w:rFonts w:hint="eastAsia"/>
        </w:rPr>
        <w:t>台，低风险安全阀</w:t>
      </w:r>
      <w:r>
        <w:rPr>
          <w:rFonts w:hint="eastAsia"/>
          <w:lang w:val="en-US" w:eastAsia="zh-CN"/>
        </w:rPr>
        <w:t>39</w:t>
      </w:r>
      <w:r>
        <w:rPr>
          <w:rFonts w:hint="eastAsia"/>
        </w:rPr>
        <w:t>台。详细风险水平见附录2。</w:t>
      </w:r>
    </w:p>
    <w:p w14:paraId="679F8A04">
      <w:pPr>
        <w:autoSpaceDE w:val="0"/>
        <w:autoSpaceDN w:val="0"/>
        <w:spacing w:line="360" w:lineRule="auto"/>
        <w:jc w:val="center"/>
        <w:rPr>
          <w:rFonts w:hint="eastAsia" w:eastAsia="宋体"/>
          <w:lang w:eastAsia="zh-CN"/>
        </w:rPr>
      </w:pPr>
      <w:r>
        <w:rPr>
          <w:rFonts w:hint="eastAsia" w:eastAsia="宋体"/>
          <w:lang w:eastAsia="zh-CN"/>
        </w:rPr>
        <w:drawing>
          <wp:inline distT="0" distB="0" distL="114300" distR="114300">
            <wp:extent cx="5572125" cy="2538730"/>
            <wp:effectExtent l="0" t="0" r="1905" b="8255"/>
            <wp:docPr id="5" name="图片 5" descr="5年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年后"/>
                    <pic:cNvPicPr>
                      <a:picLocks noChangeAspect="1"/>
                    </pic:cNvPicPr>
                  </pic:nvPicPr>
                  <pic:blipFill>
                    <a:blip r:embed="rId12"/>
                    <a:stretch>
                      <a:fillRect/>
                    </a:stretch>
                  </pic:blipFill>
                  <pic:spPr>
                    <a:xfrm>
                      <a:off x="0" y="0"/>
                      <a:ext cx="5572125" cy="2538730"/>
                    </a:xfrm>
                    <a:prstGeom prst="rect">
                      <a:avLst/>
                    </a:prstGeom>
                  </pic:spPr>
                </pic:pic>
              </a:graphicData>
            </a:graphic>
          </wp:inline>
        </w:drawing>
      </w:r>
    </w:p>
    <w:p w14:paraId="6E7E96CA">
      <w:pPr>
        <w:autoSpaceDE w:val="0"/>
        <w:autoSpaceDN w:val="0"/>
        <w:spacing w:line="360" w:lineRule="auto"/>
        <w:jc w:val="center"/>
        <w:rPr>
          <w:bCs/>
          <w:color w:val="000000"/>
        </w:rPr>
      </w:pPr>
      <w:r>
        <w:rPr>
          <w:rFonts w:hint="eastAsia"/>
          <w:bCs/>
          <w:color w:val="000000"/>
        </w:rPr>
        <w:t xml:space="preserve">图6-5   </w:t>
      </w:r>
      <w:r>
        <w:rPr>
          <w:bCs/>
          <w:color w:val="000000"/>
        </w:rPr>
        <w:t>5</w:t>
      </w:r>
      <w:r>
        <w:rPr>
          <w:rFonts w:hint="eastAsia"/>
          <w:bCs/>
          <w:color w:val="000000"/>
        </w:rPr>
        <w:t>年后安全阀风险分布图</w:t>
      </w:r>
    </w:p>
    <w:p w14:paraId="096BAD56">
      <w:pPr>
        <w:pStyle w:val="3"/>
        <w:tabs>
          <w:tab w:val="left" w:pos="360"/>
          <w:tab w:val="clear" w:pos="480"/>
        </w:tabs>
        <w:spacing w:before="115" w:beforeLines="25" w:after="115" w:afterLines="25"/>
        <w:rPr>
          <w:bCs w:val="0"/>
          <w:color w:val="000000"/>
        </w:rPr>
      </w:pPr>
      <w:bookmarkStart w:id="43" w:name="_Toc185152211"/>
      <w:bookmarkStart w:id="44" w:name="_Toc98261476"/>
      <w:r>
        <w:rPr>
          <w:rFonts w:hint="eastAsia"/>
          <w:bCs w:val="0"/>
          <w:color w:val="000000"/>
          <w:szCs w:val="24"/>
        </w:rPr>
        <w:t xml:space="preserve">6.2 </w:t>
      </w:r>
      <w:r>
        <w:rPr>
          <w:color w:val="000000"/>
          <w:szCs w:val="24"/>
        </w:rPr>
        <w:t>风险</w:t>
      </w:r>
      <w:r>
        <w:rPr>
          <w:rFonts w:hint="eastAsia"/>
          <w:bCs w:val="0"/>
          <w:color w:val="000000"/>
          <w:szCs w:val="24"/>
        </w:rPr>
        <w:t>统计</w:t>
      </w:r>
      <w:bookmarkEnd w:id="43"/>
    </w:p>
    <w:p w14:paraId="02E569BA">
      <w:pPr>
        <w:spacing w:line="360" w:lineRule="auto"/>
        <w:ind w:firstLine="420"/>
        <w:jc w:val="left"/>
      </w:pPr>
      <w:r>
        <w:rPr>
          <w:rFonts w:hint="eastAsia"/>
        </w:rPr>
        <w:t>本次所评</w:t>
      </w:r>
      <w:r>
        <w:rPr>
          <w:rFonts w:hint="eastAsia"/>
          <w:lang w:val="en-US" w:eastAsia="zh-CN"/>
        </w:rPr>
        <w:t>190</w:t>
      </w:r>
      <w:r>
        <w:rPr>
          <w:rFonts w:hint="eastAsia"/>
        </w:rPr>
        <w:t>台安全阀的风险分布见表6</w:t>
      </w:r>
      <w:r>
        <w:t>-1~6-5</w:t>
      </w:r>
      <w:r>
        <w:rPr>
          <w:rFonts w:hint="eastAsia"/>
        </w:rPr>
        <w:t>。</w:t>
      </w:r>
    </w:p>
    <w:p w14:paraId="3615C1DD">
      <w:pPr>
        <w:spacing w:line="360" w:lineRule="auto"/>
        <w:jc w:val="center"/>
      </w:pPr>
      <w:r>
        <w:rPr>
          <w:rFonts w:hint="eastAsia"/>
        </w:rPr>
        <w:t>表6-1  安全阀</w:t>
      </w:r>
      <w:r>
        <w:t>1</w:t>
      </w:r>
      <w:r>
        <w:rPr>
          <w:rFonts w:hint="eastAsia"/>
        </w:rPr>
        <w:t>年后风险等级结果</w:t>
      </w:r>
    </w:p>
    <w:tbl>
      <w:tblPr>
        <w:tblStyle w:val="30"/>
        <w:tblW w:w="7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07"/>
        <w:gridCol w:w="1382"/>
        <w:gridCol w:w="1609"/>
        <w:gridCol w:w="1609"/>
        <w:gridCol w:w="1609"/>
      </w:tblGrid>
      <w:tr w14:paraId="3984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1107" w:type="dxa"/>
            <w:shd w:val="clear" w:color="auto" w:fill="auto"/>
            <w:tcMar>
              <w:top w:w="14" w:type="dxa"/>
              <w:left w:w="14" w:type="dxa"/>
              <w:bottom w:w="0" w:type="dxa"/>
              <w:right w:w="14" w:type="dxa"/>
            </w:tcMar>
            <w:vAlign w:val="center"/>
          </w:tcPr>
          <w:p w14:paraId="7BBB0517">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风险等级</w:t>
            </w:r>
          </w:p>
        </w:tc>
        <w:tc>
          <w:tcPr>
            <w:tcW w:w="1382" w:type="dxa"/>
            <w:tcBorders>
              <w:bottom w:val="single" w:color="auto" w:sz="4" w:space="0"/>
            </w:tcBorders>
            <w:shd w:val="clear" w:color="auto" w:fill="auto"/>
            <w:tcMar>
              <w:top w:w="14" w:type="dxa"/>
              <w:left w:w="14" w:type="dxa"/>
              <w:bottom w:w="0" w:type="dxa"/>
              <w:right w:w="14" w:type="dxa"/>
            </w:tcMar>
            <w:vAlign w:val="center"/>
          </w:tcPr>
          <w:p w14:paraId="50BF30FA">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高风险</w:t>
            </w:r>
          </w:p>
        </w:tc>
        <w:tc>
          <w:tcPr>
            <w:tcW w:w="1609" w:type="dxa"/>
            <w:tcBorders>
              <w:bottom w:val="single" w:color="auto" w:sz="4" w:space="0"/>
            </w:tcBorders>
            <w:shd w:val="clear" w:color="auto" w:fill="auto"/>
            <w:tcMar>
              <w:top w:w="14" w:type="dxa"/>
              <w:left w:w="14" w:type="dxa"/>
              <w:bottom w:w="0" w:type="dxa"/>
              <w:right w:w="14" w:type="dxa"/>
            </w:tcMar>
            <w:vAlign w:val="center"/>
          </w:tcPr>
          <w:p w14:paraId="51C6B6C5">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中高风险</w:t>
            </w:r>
          </w:p>
        </w:tc>
        <w:tc>
          <w:tcPr>
            <w:tcW w:w="1609" w:type="dxa"/>
            <w:tcBorders>
              <w:bottom w:val="single" w:color="auto" w:sz="4" w:space="0"/>
            </w:tcBorders>
            <w:shd w:val="clear" w:color="auto" w:fill="auto"/>
            <w:tcMar>
              <w:top w:w="14" w:type="dxa"/>
              <w:left w:w="14" w:type="dxa"/>
              <w:bottom w:w="0" w:type="dxa"/>
              <w:right w:w="14" w:type="dxa"/>
            </w:tcMar>
            <w:vAlign w:val="center"/>
          </w:tcPr>
          <w:p w14:paraId="4F5E7623">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中风险</w:t>
            </w:r>
          </w:p>
        </w:tc>
        <w:tc>
          <w:tcPr>
            <w:tcW w:w="1609" w:type="dxa"/>
            <w:tcBorders>
              <w:bottom w:val="single" w:color="auto" w:sz="4" w:space="0"/>
            </w:tcBorders>
            <w:shd w:val="clear" w:color="auto" w:fill="auto"/>
            <w:tcMar>
              <w:top w:w="14" w:type="dxa"/>
              <w:left w:w="14" w:type="dxa"/>
              <w:bottom w:w="0" w:type="dxa"/>
              <w:right w:w="14" w:type="dxa"/>
            </w:tcMar>
            <w:vAlign w:val="center"/>
          </w:tcPr>
          <w:p w14:paraId="75E6FCFF">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低风险</w:t>
            </w:r>
          </w:p>
        </w:tc>
      </w:tr>
      <w:tr w14:paraId="083C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1107" w:type="dxa"/>
            <w:shd w:val="clear" w:color="auto" w:fill="auto"/>
            <w:tcMar>
              <w:top w:w="14" w:type="dxa"/>
              <w:left w:w="14" w:type="dxa"/>
              <w:bottom w:w="0" w:type="dxa"/>
              <w:right w:w="14" w:type="dxa"/>
            </w:tcMar>
            <w:vAlign w:val="center"/>
          </w:tcPr>
          <w:p w14:paraId="31CC8AF7">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数量</w:t>
            </w:r>
          </w:p>
        </w:tc>
        <w:tc>
          <w:tcPr>
            <w:tcW w:w="1382" w:type="dxa"/>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14:paraId="0EFBEDD1">
            <w:pPr>
              <w:keepNext w:val="0"/>
              <w:keepLines w:val="0"/>
              <w:widowControl/>
              <w:suppressLineNumbers w:val="0"/>
              <w:jc w:val="center"/>
              <w:textAlignment w:val="center"/>
              <w:rPr>
                <w:rFonts w:cs="宋体"/>
                <w:color w:val="000000"/>
                <w:kern w:val="0"/>
              </w:rP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71DF145C">
            <w:pPr>
              <w:keepNext w:val="0"/>
              <w:keepLines w:val="0"/>
              <w:widowControl/>
              <w:suppressLineNumbers w:val="0"/>
              <w:jc w:val="center"/>
              <w:textAlignment w:val="center"/>
              <w:rPr>
                <w:rFonts w:hint="default" w:eastAsia="宋体" w:cs="宋体"/>
                <w:kern w:val="0"/>
                <w:lang w:val="en-US" w:eastAsia="zh-CN"/>
              </w:rPr>
            </w:pPr>
            <w:r>
              <w:rPr>
                <w:rFonts w:hint="default" w:ascii="Arial Narrow" w:hAnsi="Arial Narrow" w:eastAsia="Arial Narrow" w:cs="Arial Narrow"/>
                <w:i w:val="0"/>
                <w:iCs w:val="0"/>
                <w:color w:val="000000"/>
                <w:kern w:val="0"/>
                <w:sz w:val="24"/>
                <w:szCs w:val="24"/>
                <w:u w:val="none"/>
                <w:lang w:val="en-US" w:eastAsia="zh-CN" w:bidi="ar"/>
              </w:rPr>
              <w:t>94</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161CF86C">
            <w:pPr>
              <w:keepNext w:val="0"/>
              <w:keepLines w:val="0"/>
              <w:widowControl/>
              <w:suppressLineNumbers w:val="0"/>
              <w:jc w:val="center"/>
              <w:textAlignment w:val="center"/>
              <w:rPr>
                <w:rFonts w:hint="default" w:eastAsia="宋体" w:cs="宋体"/>
                <w:kern w:val="0"/>
                <w:lang w:val="en-US" w:eastAsia="zh-CN"/>
              </w:rPr>
            </w:pPr>
            <w:r>
              <w:rPr>
                <w:rFonts w:hint="default" w:ascii="Arial Narrow" w:hAnsi="Arial Narrow" w:eastAsia="Arial Narrow" w:cs="Arial Narrow"/>
                <w:i w:val="0"/>
                <w:iCs w:val="0"/>
                <w:color w:val="000000"/>
                <w:kern w:val="0"/>
                <w:sz w:val="24"/>
                <w:szCs w:val="24"/>
                <w:u w:val="none"/>
                <w:lang w:val="en-US" w:eastAsia="zh-CN" w:bidi="ar"/>
              </w:rPr>
              <w:t>53</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70730965">
            <w:pPr>
              <w:keepNext w:val="0"/>
              <w:keepLines w:val="0"/>
              <w:widowControl/>
              <w:suppressLineNumbers w:val="0"/>
              <w:jc w:val="center"/>
              <w:textAlignment w:val="center"/>
              <w:rPr>
                <w:rFonts w:cs="宋体"/>
                <w:kern w:val="0"/>
              </w:rPr>
            </w:pPr>
            <w:r>
              <w:rPr>
                <w:rFonts w:hint="default" w:ascii="Arial Narrow" w:hAnsi="Arial Narrow" w:eastAsia="Arial Narrow" w:cs="Arial Narrow"/>
                <w:i w:val="0"/>
                <w:iCs w:val="0"/>
                <w:color w:val="000000"/>
                <w:kern w:val="0"/>
                <w:sz w:val="24"/>
                <w:szCs w:val="24"/>
                <w:u w:val="none"/>
                <w:lang w:val="en-US" w:eastAsia="zh-CN" w:bidi="ar"/>
              </w:rPr>
              <w:t>43</w:t>
            </w:r>
          </w:p>
        </w:tc>
      </w:tr>
      <w:tr w14:paraId="1889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1107" w:type="dxa"/>
            <w:shd w:val="clear" w:color="auto" w:fill="auto"/>
            <w:vAlign w:val="center"/>
          </w:tcPr>
          <w:p w14:paraId="0CE6D67F">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比例</w:t>
            </w:r>
          </w:p>
        </w:tc>
        <w:tc>
          <w:tcPr>
            <w:tcW w:w="1382" w:type="dxa"/>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14:paraId="0EBF78A4">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6283EF63">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49.47%</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7A839190">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27.89%</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24743108">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22.63%</w:t>
            </w:r>
          </w:p>
        </w:tc>
      </w:tr>
    </w:tbl>
    <w:p w14:paraId="7A765170">
      <w:pPr>
        <w:spacing w:line="360" w:lineRule="auto"/>
        <w:jc w:val="center"/>
      </w:pPr>
      <w:r>
        <w:rPr>
          <w:rFonts w:hint="eastAsia"/>
        </w:rPr>
        <w:t>表6-2  安全阀</w:t>
      </w:r>
      <w:r>
        <w:t>2</w:t>
      </w:r>
      <w:r>
        <w:rPr>
          <w:rFonts w:hint="eastAsia"/>
        </w:rPr>
        <w:t>年后风险等级结果</w:t>
      </w:r>
    </w:p>
    <w:tbl>
      <w:tblPr>
        <w:tblStyle w:val="30"/>
        <w:tblW w:w="7316" w:type="dxa"/>
        <w:jc w:val="center"/>
        <w:tblLayout w:type="autofit"/>
        <w:tblCellMar>
          <w:top w:w="0" w:type="dxa"/>
          <w:left w:w="0" w:type="dxa"/>
          <w:bottom w:w="0" w:type="dxa"/>
          <w:right w:w="0" w:type="dxa"/>
        </w:tblCellMar>
      </w:tblPr>
      <w:tblGrid>
        <w:gridCol w:w="1107"/>
        <w:gridCol w:w="1382"/>
        <w:gridCol w:w="1609"/>
        <w:gridCol w:w="1609"/>
        <w:gridCol w:w="1609"/>
      </w:tblGrid>
      <w:tr w14:paraId="172E6136">
        <w:tblPrEx>
          <w:tblCellMar>
            <w:top w:w="0" w:type="dxa"/>
            <w:left w:w="0" w:type="dxa"/>
            <w:bottom w:w="0" w:type="dxa"/>
            <w:right w:w="0" w:type="dxa"/>
          </w:tblCellMar>
        </w:tblPrEx>
        <w:trPr>
          <w:trHeight w:val="495"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bottom w:w="0" w:type="dxa"/>
              <w:right w:w="14" w:type="dxa"/>
            </w:tcMar>
            <w:vAlign w:val="center"/>
          </w:tcPr>
          <w:p w14:paraId="281F2076">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风险等级</w:t>
            </w:r>
          </w:p>
        </w:tc>
        <w:tc>
          <w:tcPr>
            <w:tcW w:w="1382"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4D2D2290">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高风险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5793C408">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中高风险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5AD438F4">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1A99BE83">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低风险</w:t>
            </w:r>
          </w:p>
        </w:tc>
      </w:tr>
      <w:tr w14:paraId="61D24992">
        <w:tblPrEx>
          <w:tblCellMar>
            <w:top w:w="0" w:type="dxa"/>
            <w:left w:w="0" w:type="dxa"/>
            <w:bottom w:w="0" w:type="dxa"/>
            <w:right w:w="0" w:type="dxa"/>
          </w:tblCellMar>
        </w:tblPrEx>
        <w:trPr>
          <w:trHeight w:val="505" w:hRule="atLeast"/>
          <w:jc w:val="center"/>
        </w:trPr>
        <w:tc>
          <w:tcPr>
            <w:tcW w:w="1107" w:type="dxa"/>
            <w:tcBorders>
              <w:top w:val="single" w:color="000000" w:sz="4" w:space="0"/>
              <w:left w:val="single" w:color="000000" w:sz="4" w:space="0"/>
              <w:bottom w:val="single" w:color="000000" w:sz="4" w:space="0"/>
              <w:right w:val="single" w:color="auto" w:sz="4" w:space="0"/>
            </w:tcBorders>
            <w:shd w:val="clear" w:color="auto" w:fill="auto"/>
            <w:tcMar>
              <w:top w:w="14" w:type="dxa"/>
              <w:left w:w="14" w:type="dxa"/>
              <w:bottom w:w="0" w:type="dxa"/>
              <w:right w:w="14" w:type="dxa"/>
            </w:tcMar>
            <w:vAlign w:val="center"/>
          </w:tcPr>
          <w:p w14:paraId="6954223E">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数量</w:t>
            </w:r>
          </w:p>
        </w:tc>
        <w:tc>
          <w:tcPr>
            <w:tcW w:w="1382" w:type="dxa"/>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14:paraId="5BB28541">
            <w:pPr>
              <w:keepNext w:val="0"/>
              <w:keepLines w:val="0"/>
              <w:widowControl/>
              <w:suppressLineNumbers w:val="0"/>
              <w:jc w:val="center"/>
              <w:textAlignment w:val="center"/>
              <w:rPr>
                <w:rFonts w:cs="宋体"/>
                <w:color w:val="000000"/>
                <w:kern w:val="0"/>
              </w:rP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6AAEFB8F">
            <w:pPr>
              <w:keepNext w:val="0"/>
              <w:keepLines w:val="0"/>
              <w:widowControl/>
              <w:suppressLineNumbers w:val="0"/>
              <w:jc w:val="center"/>
              <w:textAlignment w:val="center"/>
              <w:rPr>
                <w:rFonts w:cs="宋体"/>
                <w:kern w:val="0"/>
              </w:rPr>
            </w:pPr>
            <w:r>
              <w:rPr>
                <w:rFonts w:hint="default" w:ascii="Arial Narrow" w:hAnsi="Arial Narrow" w:eastAsia="Arial Narrow" w:cs="Arial Narrow"/>
                <w:i w:val="0"/>
                <w:iCs w:val="0"/>
                <w:color w:val="000000"/>
                <w:kern w:val="0"/>
                <w:sz w:val="24"/>
                <w:szCs w:val="24"/>
                <w:u w:val="none"/>
                <w:lang w:val="en-US" w:eastAsia="zh-CN" w:bidi="ar"/>
              </w:rPr>
              <w:t>94</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55F57AD5">
            <w:pPr>
              <w:keepNext w:val="0"/>
              <w:keepLines w:val="0"/>
              <w:widowControl/>
              <w:suppressLineNumbers w:val="0"/>
              <w:jc w:val="center"/>
              <w:textAlignment w:val="center"/>
              <w:rPr>
                <w:rFonts w:cs="宋体"/>
                <w:kern w:val="0"/>
              </w:rPr>
            </w:pPr>
            <w:r>
              <w:rPr>
                <w:rFonts w:hint="default" w:ascii="Arial Narrow" w:hAnsi="Arial Narrow" w:eastAsia="Arial Narrow" w:cs="Arial Narrow"/>
                <w:i w:val="0"/>
                <w:iCs w:val="0"/>
                <w:color w:val="000000"/>
                <w:kern w:val="0"/>
                <w:sz w:val="24"/>
                <w:szCs w:val="24"/>
                <w:u w:val="none"/>
                <w:lang w:val="en-US" w:eastAsia="zh-CN" w:bidi="ar"/>
              </w:rPr>
              <w:t>53</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45762E12">
            <w:pPr>
              <w:keepNext w:val="0"/>
              <w:keepLines w:val="0"/>
              <w:widowControl/>
              <w:suppressLineNumbers w:val="0"/>
              <w:jc w:val="center"/>
              <w:textAlignment w:val="center"/>
              <w:rPr>
                <w:rFonts w:cs="宋体"/>
                <w:kern w:val="0"/>
              </w:rPr>
            </w:pPr>
            <w:r>
              <w:rPr>
                <w:rFonts w:hint="default" w:ascii="Arial Narrow" w:hAnsi="Arial Narrow" w:eastAsia="Arial Narrow" w:cs="Arial Narrow"/>
                <w:i w:val="0"/>
                <w:iCs w:val="0"/>
                <w:color w:val="000000"/>
                <w:kern w:val="0"/>
                <w:sz w:val="24"/>
                <w:szCs w:val="24"/>
                <w:u w:val="none"/>
                <w:lang w:val="en-US" w:eastAsia="zh-CN" w:bidi="ar"/>
              </w:rPr>
              <w:t>43</w:t>
            </w:r>
          </w:p>
        </w:tc>
      </w:tr>
      <w:tr w14:paraId="7F77798C">
        <w:tblPrEx>
          <w:tblCellMar>
            <w:top w:w="0" w:type="dxa"/>
            <w:left w:w="0" w:type="dxa"/>
            <w:bottom w:w="0" w:type="dxa"/>
            <w:right w:w="0" w:type="dxa"/>
          </w:tblCellMar>
        </w:tblPrEx>
        <w:trPr>
          <w:trHeight w:val="514" w:hRule="atLeast"/>
          <w:jc w:val="center"/>
        </w:trPr>
        <w:tc>
          <w:tcPr>
            <w:tcW w:w="1107" w:type="dxa"/>
            <w:tcBorders>
              <w:top w:val="single" w:color="000000" w:sz="4" w:space="0"/>
              <w:left w:val="single" w:color="000000" w:sz="4" w:space="0"/>
              <w:bottom w:val="single" w:color="000000" w:sz="4" w:space="0"/>
              <w:right w:val="single" w:color="auto" w:sz="4" w:space="0"/>
            </w:tcBorders>
            <w:shd w:val="clear" w:color="auto" w:fill="auto"/>
            <w:vAlign w:val="center"/>
          </w:tcPr>
          <w:p w14:paraId="5B5D487E">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比例</w:t>
            </w:r>
          </w:p>
        </w:tc>
        <w:tc>
          <w:tcPr>
            <w:tcW w:w="1382" w:type="dxa"/>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14:paraId="24B2FD8A">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01B562F7">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49.47%</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26A24A51">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27.89%</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3B09BBD4">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22.63%</w:t>
            </w:r>
          </w:p>
        </w:tc>
      </w:tr>
    </w:tbl>
    <w:p w14:paraId="257EDF48">
      <w:pPr>
        <w:spacing w:line="360" w:lineRule="auto"/>
        <w:jc w:val="center"/>
      </w:pPr>
      <w:r>
        <w:rPr>
          <w:rFonts w:hint="eastAsia"/>
        </w:rPr>
        <w:t>表6-3  安全阀</w:t>
      </w:r>
      <w:r>
        <w:t>3</w:t>
      </w:r>
      <w:r>
        <w:rPr>
          <w:rFonts w:hint="eastAsia"/>
        </w:rPr>
        <w:t>年后风险等级结果</w:t>
      </w:r>
    </w:p>
    <w:tbl>
      <w:tblPr>
        <w:tblStyle w:val="30"/>
        <w:tblW w:w="7316" w:type="dxa"/>
        <w:jc w:val="center"/>
        <w:tblLayout w:type="autofit"/>
        <w:tblCellMar>
          <w:top w:w="0" w:type="dxa"/>
          <w:left w:w="0" w:type="dxa"/>
          <w:bottom w:w="0" w:type="dxa"/>
          <w:right w:w="0" w:type="dxa"/>
        </w:tblCellMar>
      </w:tblPr>
      <w:tblGrid>
        <w:gridCol w:w="1107"/>
        <w:gridCol w:w="1382"/>
        <w:gridCol w:w="1609"/>
        <w:gridCol w:w="1609"/>
        <w:gridCol w:w="1609"/>
      </w:tblGrid>
      <w:tr w14:paraId="751A0401">
        <w:tblPrEx>
          <w:tblCellMar>
            <w:top w:w="0" w:type="dxa"/>
            <w:left w:w="0" w:type="dxa"/>
            <w:bottom w:w="0" w:type="dxa"/>
            <w:right w:w="0" w:type="dxa"/>
          </w:tblCellMar>
        </w:tblPrEx>
        <w:trPr>
          <w:trHeight w:val="495"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bottom w:w="0" w:type="dxa"/>
              <w:right w:w="14" w:type="dxa"/>
            </w:tcMar>
            <w:vAlign w:val="center"/>
          </w:tcPr>
          <w:p w14:paraId="0F488488">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风险等级</w:t>
            </w:r>
          </w:p>
        </w:tc>
        <w:tc>
          <w:tcPr>
            <w:tcW w:w="1382"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6C1111CC">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高风险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65E4A862">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中高风险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101C9963">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34352004">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低风险</w:t>
            </w:r>
          </w:p>
        </w:tc>
      </w:tr>
      <w:tr w14:paraId="3E62850B">
        <w:tblPrEx>
          <w:tblCellMar>
            <w:top w:w="0" w:type="dxa"/>
            <w:left w:w="0" w:type="dxa"/>
            <w:bottom w:w="0" w:type="dxa"/>
            <w:right w:w="0" w:type="dxa"/>
          </w:tblCellMar>
        </w:tblPrEx>
        <w:trPr>
          <w:trHeight w:val="505" w:hRule="atLeast"/>
          <w:jc w:val="center"/>
        </w:trPr>
        <w:tc>
          <w:tcPr>
            <w:tcW w:w="1107" w:type="dxa"/>
            <w:tcBorders>
              <w:top w:val="single" w:color="000000" w:sz="4" w:space="0"/>
              <w:left w:val="single" w:color="000000" w:sz="4" w:space="0"/>
              <w:bottom w:val="single" w:color="000000" w:sz="4" w:space="0"/>
              <w:right w:val="single" w:color="auto" w:sz="4" w:space="0"/>
            </w:tcBorders>
            <w:shd w:val="clear" w:color="auto" w:fill="auto"/>
            <w:tcMar>
              <w:top w:w="14" w:type="dxa"/>
              <w:left w:w="14" w:type="dxa"/>
              <w:bottom w:w="0" w:type="dxa"/>
              <w:right w:w="14" w:type="dxa"/>
            </w:tcMar>
            <w:vAlign w:val="center"/>
          </w:tcPr>
          <w:p w14:paraId="0218904E">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数量</w:t>
            </w:r>
          </w:p>
        </w:tc>
        <w:tc>
          <w:tcPr>
            <w:tcW w:w="1382"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0364B038">
            <w:pPr>
              <w:keepNext w:val="0"/>
              <w:keepLines w:val="0"/>
              <w:widowControl/>
              <w:suppressLineNumbers w:val="0"/>
              <w:jc w:val="center"/>
              <w:textAlignment w:val="center"/>
              <w:rPr>
                <w:color w:val="000000"/>
                <w:sz w:val="22"/>
                <w:szCs w:val="22"/>
              </w:rP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48C90A72">
            <w:pPr>
              <w:keepNext w:val="0"/>
              <w:keepLines w:val="0"/>
              <w:widowControl/>
              <w:suppressLineNumbers w:val="0"/>
              <w:jc w:val="center"/>
              <w:textAlignment w:val="center"/>
              <w:rPr>
                <w:color w:val="000000"/>
                <w:sz w:val="22"/>
                <w:szCs w:val="22"/>
              </w:rPr>
            </w:pPr>
            <w:r>
              <w:rPr>
                <w:rFonts w:hint="default" w:ascii="Arial Narrow" w:hAnsi="Arial Narrow" w:eastAsia="Arial Narrow" w:cs="Arial Narrow"/>
                <w:i w:val="0"/>
                <w:iCs w:val="0"/>
                <w:color w:val="000000"/>
                <w:kern w:val="0"/>
                <w:sz w:val="24"/>
                <w:szCs w:val="24"/>
                <w:u w:val="none"/>
                <w:lang w:val="en-US" w:eastAsia="zh-CN" w:bidi="ar"/>
              </w:rPr>
              <w:t>94</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63A2876D">
            <w:pPr>
              <w:keepNext w:val="0"/>
              <w:keepLines w:val="0"/>
              <w:widowControl/>
              <w:suppressLineNumbers w:val="0"/>
              <w:jc w:val="center"/>
              <w:textAlignment w:val="center"/>
              <w:rPr>
                <w:color w:val="000000"/>
                <w:sz w:val="22"/>
                <w:szCs w:val="22"/>
              </w:rPr>
            </w:pPr>
            <w:r>
              <w:rPr>
                <w:rFonts w:hint="default" w:ascii="Arial Narrow" w:hAnsi="Arial Narrow" w:eastAsia="Arial Narrow" w:cs="Arial Narrow"/>
                <w:i w:val="0"/>
                <w:iCs w:val="0"/>
                <w:color w:val="000000"/>
                <w:kern w:val="0"/>
                <w:sz w:val="24"/>
                <w:szCs w:val="24"/>
                <w:u w:val="none"/>
                <w:lang w:val="en-US" w:eastAsia="zh-CN" w:bidi="ar"/>
              </w:rPr>
              <w:t>53</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6D325136">
            <w:pPr>
              <w:keepNext w:val="0"/>
              <w:keepLines w:val="0"/>
              <w:widowControl/>
              <w:suppressLineNumbers w:val="0"/>
              <w:jc w:val="center"/>
              <w:textAlignment w:val="center"/>
              <w:rPr>
                <w:color w:val="000000"/>
                <w:sz w:val="22"/>
                <w:szCs w:val="22"/>
              </w:rPr>
            </w:pPr>
            <w:r>
              <w:rPr>
                <w:rFonts w:hint="default" w:ascii="Arial Narrow" w:hAnsi="Arial Narrow" w:eastAsia="Arial Narrow" w:cs="Arial Narrow"/>
                <w:i w:val="0"/>
                <w:iCs w:val="0"/>
                <w:color w:val="000000"/>
                <w:kern w:val="0"/>
                <w:sz w:val="24"/>
                <w:szCs w:val="24"/>
                <w:u w:val="none"/>
                <w:lang w:val="en-US" w:eastAsia="zh-CN" w:bidi="ar"/>
              </w:rPr>
              <w:t>43</w:t>
            </w:r>
          </w:p>
        </w:tc>
      </w:tr>
      <w:tr w14:paraId="2A81671B">
        <w:tblPrEx>
          <w:tblCellMar>
            <w:top w:w="0" w:type="dxa"/>
            <w:left w:w="0" w:type="dxa"/>
            <w:bottom w:w="0" w:type="dxa"/>
            <w:right w:w="0" w:type="dxa"/>
          </w:tblCellMar>
        </w:tblPrEx>
        <w:trPr>
          <w:trHeight w:val="514" w:hRule="atLeast"/>
          <w:jc w:val="center"/>
        </w:trPr>
        <w:tc>
          <w:tcPr>
            <w:tcW w:w="1107" w:type="dxa"/>
            <w:tcBorders>
              <w:top w:val="single" w:color="000000" w:sz="4" w:space="0"/>
              <w:left w:val="single" w:color="000000" w:sz="4" w:space="0"/>
              <w:bottom w:val="single" w:color="000000" w:sz="4" w:space="0"/>
              <w:right w:val="single" w:color="auto" w:sz="4" w:space="0"/>
            </w:tcBorders>
            <w:shd w:val="clear" w:color="auto" w:fill="auto"/>
            <w:vAlign w:val="center"/>
          </w:tcPr>
          <w:p w14:paraId="6496DDB9">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比例</w:t>
            </w:r>
          </w:p>
        </w:tc>
        <w:tc>
          <w:tcPr>
            <w:tcW w:w="1382"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0AC4DD2C">
            <w:pPr>
              <w:keepNext w:val="0"/>
              <w:keepLines w:val="0"/>
              <w:widowControl/>
              <w:suppressLineNumbers w:val="0"/>
              <w:jc w:val="center"/>
              <w:textAlignment w:val="center"/>
              <w:rPr>
                <w:color w:val="000000"/>
                <w:sz w:val="22"/>
                <w:szCs w:val="22"/>
              </w:rP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3D65A818">
            <w:pPr>
              <w:keepNext w:val="0"/>
              <w:keepLines w:val="0"/>
              <w:widowControl/>
              <w:suppressLineNumbers w:val="0"/>
              <w:jc w:val="center"/>
              <w:textAlignment w:val="center"/>
              <w:rPr>
                <w:color w:val="000000"/>
                <w:sz w:val="22"/>
                <w:szCs w:val="22"/>
              </w:rPr>
            </w:pPr>
            <w:r>
              <w:rPr>
                <w:rFonts w:hint="default" w:ascii="Arial Narrow" w:hAnsi="Arial Narrow" w:eastAsia="Arial Narrow" w:cs="Arial Narrow"/>
                <w:i w:val="0"/>
                <w:iCs w:val="0"/>
                <w:color w:val="000000"/>
                <w:kern w:val="0"/>
                <w:sz w:val="24"/>
                <w:szCs w:val="24"/>
                <w:u w:val="none"/>
                <w:lang w:val="en-US" w:eastAsia="zh-CN" w:bidi="ar"/>
              </w:rPr>
              <w:t>49.47%</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7FEE62A7">
            <w:pPr>
              <w:keepNext w:val="0"/>
              <w:keepLines w:val="0"/>
              <w:widowControl/>
              <w:suppressLineNumbers w:val="0"/>
              <w:jc w:val="center"/>
              <w:textAlignment w:val="center"/>
              <w:rPr>
                <w:color w:val="000000"/>
                <w:sz w:val="22"/>
                <w:szCs w:val="22"/>
              </w:rPr>
            </w:pPr>
            <w:r>
              <w:rPr>
                <w:rFonts w:hint="default" w:ascii="Arial Narrow" w:hAnsi="Arial Narrow" w:eastAsia="Arial Narrow" w:cs="Arial Narrow"/>
                <w:i w:val="0"/>
                <w:iCs w:val="0"/>
                <w:color w:val="000000"/>
                <w:kern w:val="0"/>
                <w:sz w:val="24"/>
                <w:szCs w:val="24"/>
                <w:u w:val="none"/>
                <w:lang w:val="en-US" w:eastAsia="zh-CN" w:bidi="ar"/>
              </w:rPr>
              <w:t>27.89%</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774B9ADF">
            <w:pPr>
              <w:keepNext w:val="0"/>
              <w:keepLines w:val="0"/>
              <w:widowControl/>
              <w:suppressLineNumbers w:val="0"/>
              <w:jc w:val="center"/>
              <w:textAlignment w:val="center"/>
              <w:rPr>
                <w:color w:val="000000"/>
                <w:sz w:val="22"/>
                <w:szCs w:val="22"/>
              </w:rPr>
            </w:pPr>
            <w:r>
              <w:rPr>
                <w:rFonts w:hint="default" w:ascii="Arial Narrow" w:hAnsi="Arial Narrow" w:eastAsia="Arial Narrow" w:cs="Arial Narrow"/>
                <w:i w:val="0"/>
                <w:iCs w:val="0"/>
                <w:color w:val="000000"/>
                <w:kern w:val="0"/>
                <w:sz w:val="24"/>
                <w:szCs w:val="24"/>
                <w:u w:val="none"/>
                <w:lang w:val="en-US" w:eastAsia="zh-CN" w:bidi="ar"/>
              </w:rPr>
              <w:t>22.63%</w:t>
            </w:r>
          </w:p>
        </w:tc>
      </w:tr>
    </w:tbl>
    <w:p w14:paraId="4963617E">
      <w:pPr>
        <w:spacing w:line="360" w:lineRule="auto"/>
        <w:jc w:val="center"/>
        <w:rPr>
          <w:rFonts w:hint="eastAsia"/>
        </w:rPr>
      </w:pPr>
    </w:p>
    <w:p w14:paraId="415D47A8">
      <w:pPr>
        <w:spacing w:line="360" w:lineRule="auto"/>
        <w:jc w:val="center"/>
      </w:pPr>
      <w:r>
        <w:rPr>
          <w:rFonts w:hint="eastAsia"/>
        </w:rPr>
        <w:t>表6-4  安全阀</w:t>
      </w:r>
      <w:r>
        <w:t>4</w:t>
      </w:r>
      <w:r>
        <w:rPr>
          <w:rFonts w:hint="eastAsia"/>
        </w:rPr>
        <w:t>年后风险等级结果</w:t>
      </w:r>
    </w:p>
    <w:tbl>
      <w:tblPr>
        <w:tblStyle w:val="30"/>
        <w:tblW w:w="7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07"/>
        <w:gridCol w:w="1382"/>
        <w:gridCol w:w="1609"/>
        <w:gridCol w:w="1609"/>
        <w:gridCol w:w="1609"/>
      </w:tblGrid>
      <w:tr w14:paraId="5BFA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1107" w:type="dxa"/>
            <w:shd w:val="clear" w:color="auto" w:fill="auto"/>
            <w:tcMar>
              <w:top w:w="14" w:type="dxa"/>
              <w:left w:w="14" w:type="dxa"/>
              <w:bottom w:w="0" w:type="dxa"/>
              <w:right w:w="14" w:type="dxa"/>
            </w:tcMar>
            <w:vAlign w:val="center"/>
          </w:tcPr>
          <w:p w14:paraId="3292D17F">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风险等级</w:t>
            </w:r>
          </w:p>
        </w:tc>
        <w:tc>
          <w:tcPr>
            <w:tcW w:w="1382" w:type="dxa"/>
            <w:shd w:val="clear" w:color="auto" w:fill="auto"/>
            <w:tcMar>
              <w:top w:w="14" w:type="dxa"/>
              <w:left w:w="14" w:type="dxa"/>
              <w:bottom w:w="0" w:type="dxa"/>
              <w:right w:w="14" w:type="dxa"/>
            </w:tcMar>
            <w:vAlign w:val="center"/>
          </w:tcPr>
          <w:p w14:paraId="457BCA55">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高风险</w:t>
            </w:r>
          </w:p>
        </w:tc>
        <w:tc>
          <w:tcPr>
            <w:tcW w:w="1609" w:type="dxa"/>
            <w:shd w:val="clear" w:color="auto" w:fill="auto"/>
            <w:tcMar>
              <w:top w:w="14" w:type="dxa"/>
              <w:left w:w="14" w:type="dxa"/>
              <w:bottom w:w="0" w:type="dxa"/>
              <w:right w:w="14" w:type="dxa"/>
            </w:tcMar>
            <w:vAlign w:val="center"/>
          </w:tcPr>
          <w:p w14:paraId="390DE683">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中高风险</w:t>
            </w:r>
          </w:p>
        </w:tc>
        <w:tc>
          <w:tcPr>
            <w:tcW w:w="1609" w:type="dxa"/>
            <w:shd w:val="clear" w:color="auto" w:fill="auto"/>
            <w:tcMar>
              <w:top w:w="14" w:type="dxa"/>
              <w:left w:w="14" w:type="dxa"/>
              <w:bottom w:w="0" w:type="dxa"/>
              <w:right w:w="14" w:type="dxa"/>
            </w:tcMar>
            <w:vAlign w:val="center"/>
          </w:tcPr>
          <w:p w14:paraId="6550FBF1">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中风险</w:t>
            </w:r>
          </w:p>
        </w:tc>
        <w:tc>
          <w:tcPr>
            <w:tcW w:w="1609" w:type="dxa"/>
            <w:shd w:val="clear" w:color="auto" w:fill="auto"/>
            <w:tcMar>
              <w:top w:w="14" w:type="dxa"/>
              <w:left w:w="14" w:type="dxa"/>
              <w:bottom w:w="0" w:type="dxa"/>
              <w:right w:w="14" w:type="dxa"/>
            </w:tcMar>
            <w:vAlign w:val="center"/>
          </w:tcPr>
          <w:p w14:paraId="6EDE29E9">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低风险</w:t>
            </w:r>
          </w:p>
        </w:tc>
      </w:tr>
      <w:tr w14:paraId="348F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1107" w:type="dxa"/>
            <w:shd w:val="clear" w:color="auto" w:fill="auto"/>
            <w:tcMar>
              <w:top w:w="14" w:type="dxa"/>
              <w:left w:w="14" w:type="dxa"/>
              <w:bottom w:w="0" w:type="dxa"/>
              <w:right w:w="14" w:type="dxa"/>
            </w:tcMar>
            <w:vAlign w:val="center"/>
          </w:tcPr>
          <w:p w14:paraId="3C21F653">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数量</w:t>
            </w:r>
          </w:p>
        </w:tc>
        <w:tc>
          <w:tcPr>
            <w:tcW w:w="1382" w:type="dxa"/>
            <w:shd w:val="clear" w:color="auto" w:fill="auto"/>
            <w:tcMar>
              <w:top w:w="14" w:type="dxa"/>
              <w:left w:w="14" w:type="dxa"/>
              <w:bottom w:w="0" w:type="dxa"/>
              <w:right w:w="14" w:type="dxa"/>
            </w:tcMar>
            <w:vAlign w:val="center"/>
          </w:tcPr>
          <w:p w14:paraId="7DF3B4F3">
            <w:pPr>
              <w:keepNext w:val="0"/>
              <w:keepLines w:val="0"/>
              <w:widowControl/>
              <w:suppressLineNumbers w:val="0"/>
              <w:jc w:val="center"/>
              <w:textAlignment w:val="cente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shd w:val="clear" w:color="auto" w:fill="auto"/>
            <w:tcMar>
              <w:top w:w="14" w:type="dxa"/>
              <w:left w:w="14" w:type="dxa"/>
              <w:bottom w:w="0" w:type="dxa"/>
              <w:right w:w="14" w:type="dxa"/>
            </w:tcMar>
            <w:vAlign w:val="center"/>
          </w:tcPr>
          <w:p w14:paraId="0971D693">
            <w:pPr>
              <w:keepNext w:val="0"/>
              <w:keepLines w:val="0"/>
              <w:widowControl/>
              <w:suppressLineNumbers w:val="0"/>
              <w:jc w:val="center"/>
              <w:textAlignment w:val="center"/>
            </w:pPr>
            <w:r>
              <w:rPr>
                <w:rFonts w:hint="default" w:ascii="Arial Narrow" w:hAnsi="Arial Narrow" w:eastAsia="Arial Narrow" w:cs="Arial Narrow"/>
                <w:i w:val="0"/>
                <w:iCs w:val="0"/>
                <w:color w:val="000000"/>
                <w:kern w:val="0"/>
                <w:sz w:val="24"/>
                <w:szCs w:val="24"/>
                <w:u w:val="none"/>
                <w:lang w:val="en-US" w:eastAsia="zh-CN" w:bidi="ar"/>
              </w:rPr>
              <w:t>94</w:t>
            </w:r>
          </w:p>
        </w:tc>
        <w:tc>
          <w:tcPr>
            <w:tcW w:w="1609" w:type="dxa"/>
            <w:shd w:val="clear" w:color="auto" w:fill="auto"/>
            <w:tcMar>
              <w:top w:w="14" w:type="dxa"/>
              <w:left w:w="14" w:type="dxa"/>
              <w:bottom w:w="0" w:type="dxa"/>
              <w:right w:w="14" w:type="dxa"/>
            </w:tcMar>
            <w:vAlign w:val="center"/>
          </w:tcPr>
          <w:p w14:paraId="6F418876">
            <w:pPr>
              <w:keepNext w:val="0"/>
              <w:keepLines w:val="0"/>
              <w:widowControl/>
              <w:suppressLineNumbers w:val="0"/>
              <w:jc w:val="center"/>
              <w:textAlignment w:val="center"/>
              <w:rPr>
                <w:rFonts w:hint="default"/>
                <w:lang w:val="en-US"/>
              </w:rPr>
            </w:pPr>
            <w:r>
              <w:rPr>
                <w:rFonts w:hint="default" w:ascii="Arial Narrow" w:hAnsi="Arial Narrow" w:eastAsia="Arial Narrow" w:cs="Arial Narrow"/>
                <w:i w:val="0"/>
                <w:iCs w:val="0"/>
                <w:color w:val="000000"/>
                <w:kern w:val="0"/>
                <w:sz w:val="24"/>
                <w:szCs w:val="24"/>
                <w:u w:val="none"/>
                <w:lang w:val="en-US" w:eastAsia="zh-CN" w:bidi="ar"/>
              </w:rPr>
              <w:t>57</w:t>
            </w:r>
          </w:p>
        </w:tc>
        <w:tc>
          <w:tcPr>
            <w:tcW w:w="1609" w:type="dxa"/>
            <w:shd w:val="clear" w:color="auto" w:fill="auto"/>
            <w:tcMar>
              <w:top w:w="14" w:type="dxa"/>
              <w:left w:w="14" w:type="dxa"/>
              <w:bottom w:w="0" w:type="dxa"/>
              <w:right w:w="14" w:type="dxa"/>
            </w:tcMar>
            <w:vAlign w:val="center"/>
          </w:tcPr>
          <w:p w14:paraId="401D0683">
            <w:pPr>
              <w:keepNext w:val="0"/>
              <w:keepLines w:val="0"/>
              <w:widowControl/>
              <w:suppressLineNumbers w:val="0"/>
              <w:jc w:val="center"/>
              <w:textAlignment w:val="center"/>
              <w:rPr>
                <w:rFonts w:hint="default" w:eastAsia="宋体"/>
                <w:lang w:val="en-US" w:eastAsia="zh-CN"/>
              </w:rPr>
            </w:pPr>
            <w:r>
              <w:rPr>
                <w:rFonts w:hint="default" w:ascii="Arial Narrow" w:hAnsi="Arial Narrow" w:eastAsia="Arial Narrow" w:cs="Arial Narrow"/>
                <w:i w:val="0"/>
                <w:iCs w:val="0"/>
                <w:color w:val="000000"/>
                <w:kern w:val="0"/>
                <w:sz w:val="24"/>
                <w:szCs w:val="24"/>
                <w:u w:val="none"/>
                <w:lang w:val="en-US" w:eastAsia="zh-CN" w:bidi="ar"/>
              </w:rPr>
              <w:t>39</w:t>
            </w:r>
          </w:p>
        </w:tc>
      </w:tr>
      <w:tr w14:paraId="2B12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1107" w:type="dxa"/>
            <w:shd w:val="clear" w:color="auto" w:fill="auto"/>
            <w:vAlign w:val="center"/>
          </w:tcPr>
          <w:p w14:paraId="045E49EA">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比例</w:t>
            </w:r>
          </w:p>
        </w:tc>
        <w:tc>
          <w:tcPr>
            <w:tcW w:w="1382" w:type="dxa"/>
            <w:shd w:val="clear" w:color="auto" w:fill="auto"/>
            <w:tcMar>
              <w:top w:w="14" w:type="dxa"/>
              <w:left w:w="14" w:type="dxa"/>
              <w:bottom w:w="0" w:type="dxa"/>
              <w:right w:w="14" w:type="dxa"/>
            </w:tcMar>
            <w:vAlign w:val="center"/>
          </w:tcPr>
          <w:p w14:paraId="304655EC">
            <w:pPr>
              <w:keepNext w:val="0"/>
              <w:keepLines w:val="0"/>
              <w:widowControl/>
              <w:suppressLineNumbers w:val="0"/>
              <w:jc w:val="center"/>
              <w:textAlignment w:val="cente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shd w:val="clear" w:color="auto" w:fill="auto"/>
            <w:tcMar>
              <w:top w:w="14" w:type="dxa"/>
              <w:left w:w="14" w:type="dxa"/>
              <w:bottom w:w="0" w:type="dxa"/>
              <w:right w:w="14" w:type="dxa"/>
            </w:tcMar>
            <w:vAlign w:val="center"/>
          </w:tcPr>
          <w:p w14:paraId="155B1641">
            <w:pPr>
              <w:keepNext w:val="0"/>
              <w:keepLines w:val="0"/>
              <w:widowControl/>
              <w:suppressLineNumbers w:val="0"/>
              <w:jc w:val="center"/>
              <w:textAlignment w:val="center"/>
            </w:pPr>
            <w:r>
              <w:rPr>
                <w:rFonts w:hint="default" w:ascii="Arial Narrow" w:hAnsi="Arial Narrow" w:eastAsia="Arial Narrow" w:cs="Arial Narrow"/>
                <w:i w:val="0"/>
                <w:iCs w:val="0"/>
                <w:color w:val="000000"/>
                <w:kern w:val="0"/>
                <w:sz w:val="24"/>
                <w:szCs w:val="24"/>
                <w:u w:val="none"/>
                <w:lang w:val="en-US" w:eastAsia="zh-CN" w:bidi="ar"/>
              </w:rPr>
              <w:t>49.47%</w:t>
            </w:r>
          </w:p>
        </w:tc>
        <w:tc>
          <w:tcPr>
            <w:tcW w:w="1609" w:type="dxa"/>
            <w:shd w:val="clear" w:color="auto" w:fill="auto"/>
            <w:tcMar>
              <w:top w:w="14" w:type="dxa"/>
              <w:left w:w="14" w:type="dxa"/>
              <w:bottom w:w="0" w:type="dxa"/>
              <w:right w:w="14" w:type="dxa"/>
            </w:tcMar>
            <w:vAlign w:val="center"/>
          </w:tcPr>
          <w:p w14:paraId="62717515">
            <w:pPr>
              <w:keepNext w:val="0"/>
              <w:keepLines w:val="0"/>
              <w:widowControl/>
              <w:suppressLineNumbers w:val="0"/>
              <w:jc w:val="center"/>
              <w:textAlignment w:val="center"/>
            </w:pPr>
            <w:r>
              <w:rPr>
                <w:rFonts w:hint="default" w:ascii="Arial Narrow" w:hAnsi="Arial Narrow" w:eastAsia="Arial Narrow" w:cs="Arial Narrow"/>
                <w:i w:val="0"/>
                <w:iCs w:val="0"/>
                <w:color w:val="000000"/>
                <w:kern w:val="0"/>
                <w:sz w:val="24"/>
                <w:szCs w:val="24"/>
                <w:u w:val="none"/>
                <w:lang w:val="en-US" w:eastAsia="zh-CN" w:bidi="ar"/>
              </w:rPr>
              <w:t>30.00%</w:t>
            </w:r>
          </w:p>
        </w:tc>
        <w:tc>
          <w:tcPr>
            <w:tcW w:w="1609" w:type="dxa"/>
            <w:shd w:val="clear" w:color="auto" w:fill="auto"/>
            <w:tcMar>
              <w:top w:w="14" w:type="dxa"/>
              <w:left w:w="14" w:type="dxa"/>
              <w:bottom w:w="0" w:type="dxa"/>
              <w:right w:w="14" w:type="dxa"/>
            </w:tcMar>
            <w:vAlign w:val="center"/>
          </w:tcPr>
          <w:p w14:paraId="35A58CAF">
            <w:pPr>
              <w:keepNext w:val="0"/>
              <w:keepLines w:val="0"/>
              <w:widowControl/>
              <w:suppressLineNumbers w:val="0"/>
              <w:jc w:val="center"/>
              <w:textAlignment w:val="center"/>
            </w:pPr>
            <w:r>
              <w:rPr>
                <w:rFonts w:hint="default" w:ascii="Arial Narrow" w:hAnsi="Arial Narrow" w:eastAsia="Arial Narrow" w:cs="Arial Narrow"/>
                <w:i w:val="0"/>
                <w:iCs w:val="0"/>
                <w:color w:val="000000"/>
                <w:kern w:val="0"/>
                <w:sz w:val="24"/>
                <w:szCs w:val="24"/>
                <w:u w:val="none"/>
                <w:lang w:val="en-US" w:eastAsia="zh-CN" w:bidi="ar"/>
              </w:rPr>
              <w:t>20.53%</w:t>
            </w:r>
          </w:p>
        </w:tc>
      </w:tr>
    </w:tbl>
    <w:p w14:paraId="0CFC6F46">
      <w:pPr>
        <w:spacing w:line="360" w:lineRule="auto"/>
        <w:jc w:val="center"/>
      </w:pPr>
      <w:r>
        <w:rPr>
          <w:rFonts w:hint="eastAsia"/>
        </w:rPr>
        <w:t>表6-5  安全阀</w:t>
      </w:r>
      <w:r>
        <w:t>5</w:t>
      </w:r>
      <w:r>
        <w:rPr>
          <w:rFonts w:hint="eastAsia"/>
        </w:rPr>
        <w:t>年后风险等级结果</w:t>
      </w:r>
    </w:p>
    <w:tbl>
      <w:tblPr>
        <w:tblStyle w:val="30"/>
        <w:tblW w:w="7316" w:type="dxa"/>
        <w:jc w:val="center"/>
        <w:tblLayout w:type="autofit"/>
        <w:tblCellMar>
          <w:top w:w="0" w:type="dxa"/>
          <w:left w:w="0" w:type="dxa"/>
          <w:bottom w:w="0" w:type="dxa"/>
          <w:right w:w="0" w:type="dxa"/>
        </w:tblCellMar>
      </w:tblPr>
      <w:tblGrid>
        <w:gridCol w:w="1107"/>
        <w:gridCol w:w="1382"/>
        <w:gridCol w:w="1609"/>
        <w:gridCol w:w="1609"/>
        <w:gridCol w:w="1609"/>
      </w:tblGrid>
      <w:tr w14:paraId="046420F1">
        <w:tblPrEx>
          <w:tblCellMar>
            <w:top w:w="0" w:type="dxa"/>
            <w:left w:w="0" w:type="dxa"/>
            <w:bottom w:w="0" w:type="dxa"/>
            <w:right w:w="0" w:type="dxa"/>
          </w:tblCellMar>
        </w:tblPrEx>
        <w:trPr>
          <w:trHeight w:val="495"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bottom w:w="0" w:type="dxa"/>
              <w:right w:w="14" w:type="dxa"/>
            </w:tcMar>
            <w:vAlign w:val="center"/>
          </w:tcPr>
          <w:p w14:paraId="4B458EFF">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风险等级</w:t>
            </w:r>
          </w:p>
        </w:tc>
        <w:tc>
          <w:tcPr>
            <w:tcW w:w="1382"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468B99D0">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高风险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74989DD8">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中高风险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1DEC6D25">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中风险</w:t>
            </w:r>
          </w:p>
        </w:tc>
        <w:tc>
          <w:tcPr>
            <w:tcW w:w="1609" w:type="dxa"/>
            <w:tcBorders>
              <w:top w:val="single" w:color="000000" w:sz="4" w:space="0"/>
              <w:left w:val="single" w:color="000000" w:sz="4" w:space="0"/>
              <w:bottom w:val="single" w:color="auto" w:sz="4" w:space="0"/>
              <w:right w:val="single" w:color="000000" w:sz="4" w:space="0"/>
            </w:tcBorders>
            <w:shd w:val="clear" w:color="auto" w:fill="auto"/>
            <w:tcMar>
              <w:top w:w="14" w:type="dxa"/>
              <w:left w:w="14" w:type="dxa"/>
              <w:bottom w:w="0" w:type="dxa"/>
              <w:right w:w="14" w:type="dxa"/>
            </w:tcMar>
            <w:vAlign w:val="center"/>
          </w:tcPr>
          <w:p w14:paraId="1223D9B8">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低风险</w:t>
            </w:r>
          </w:p>
        </w:tc>
      </w:tr>
      <w:tr w14:paraId="76C3E899">
        <w:tblPrEx>
          <w:tblCellMar>
            <w:top w:w="0" w:type="dxa"/>
            <w:left w:w="0" w:type="dxa"/>
            <w:bottom w:w="0" w:type="dxa"/>
            <w:right w:w="0" w:type="dxa"/>
          </w:tblCellMar>
        </w:tblPrEx>
        <w:trPr>
          <w:trHeight w:val="505" w:hRule="atLeast"/>
          <w:jc w:val="center"/>
        </w:trPr>
        <w:tc>
          <w:tcPr>
            <w:tcW w:w="1107" w:type="dxa"/>
            <w:tcBorders>
              <w:top w:val="single" w:color="000000" w:sz="4" w:space="0"/>
              <w:left w:val="single" w:color="000000" w:sz="4" w:space="0"/>
              <w:bottom w:val="single" w:color="000000" w:sz="4" w:space="0"/>
              <w:right w:val="single" w:color="auto" w:sz="4" w:space="0"/>
            </w:tcBorders>
            <w:shd w:val="clear" w:color="auto" w:fill="auto"/>
            <w:tcMar>
              <w:top w:w="14" w:type="dxa"/>
              <w:left w:w="14" w:type="dxa"/>
              <w:bottom w:w="0" w:type="dxa"/>
              <w:right w:w="14" w:type="dxa"/>
            </w:tcMar>
            <w:vAlign w:val="center"/>
          </w:tcPr>
          <w:p w14:paraId="105080C4">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数量</w:t>
            </w:r>
          </w:p>
        </w:tc>
        <w:tc>
          <w:tcPr>
            <w:tcW w:w="1382" w:type="dxa"/>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14:paraId="7B68900E">
            <w:pPr>
              <w:keepNext w:val="0"/>
              <w:keepLines w:val="0"/>
              <w:widowControl/>
              <w:suppressLineNumbers w:val="0"/>
              <w:jc w:val="center"/>
              <w:textAlignment w:val="center"/>
              <w:rPr>
                <w:rFonts w:cs="宋体"/>
                <w:color w:val="000000"/>
                <w:kern w:val="0"/>
              </w:rP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756B5368">
            <w:pPr>
              <w:keepNext w:val="0"/>
              <w:keepLines w:val="0"/>
              <w:widowControl/>
              <w:suppressLineNumbers w:val="0"/>
              <w:jc w:val="center"/>
              <w:textAlignment w:val="center"/>
              <w:rPr>
                <w:rFonts w:cs="宋体"/>
                <w:kern w:val="0"/>
              </w:rPr>
            </w:pPr>
            <w:r>
              <w:rPr>
                <w:rFonts w:hint="default" w:ascii="Arial Narrow" w:hAnsi="Arial Narrow" w:eastAsia="Arial Narrow" w:cs="Arial Narrow"/>
                <w:i w:val="0"/>
                <w:iCs w:val="0"/>
                <w:color w:val="000000"/>
                <w:kern w:val="0"/>
                <w:sz w:val="24"/>
                <w:szCs w:val="24"/>
                <w:u w:val="none"/>
                <w:lang w:val="en-US" w:eastAsia="zh-CN" w:bidi="ar"/>
              </w:rPr>
              <w:t>96</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316BB365">
            <w:pPr>
              <w:keepNext w:val="0"/>
              <w:keepLines w:val="0"/>
              <w:widowControl/>
              <w:suppressLineNumbers w:val="0"/>
              <w:jc w:val="center"/>
              <w:textAlignment w:val="center"/>
              <w:rPr>
                <w:rFonts w:hint="default" w:cs="宋体"/>
                <w:kern w:val="0"/>
                <w:lang w:val="en-US"/>
              </w:rPr>
            </w:pPr>
            <w:r>
              <w:rPr>
                <w:rFonts w:hint="default" w:ascii="Arial Narrow" w:hAnsi="Arial Narrow" w:eastAsia="Arial Narrow" w:cs="Arial Narrow"/>
                <w:i w:val="0"/>
                <w:iCs w:val="0"/>
                <w:color w:val="000000"/>
                <w:kern w:val="0"/>
                <w:sz w:val="24"/>
                <w:szCs w:val="24"/>
                <w:u w:val="none"/>
                <w:lang w:val="en-US" w:eastAsia="zh-CN" w:bidi="ar"/>
              </w:rPr>
              <w:t>55</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0BCDF1DA">
            <w:pPr>
              <w:keepNext w:val="0"/>
              <w:keepLines w:val="0"/>
              <w:widowControl/>
              <w:suppressLineNumbers w:val="0"/>
              <w:jc w:val="center"/>
              <w:textAlignment w:val="center"/>
              <w:rPr>
                <w:rFonts w:hint="default" w:eastAsia="宋体" w:cs="宋体"/>
                <w:kern w:val="0"/>
                <w:lang w:val="en-US" w:eastAsia="zh-CN"/>
              </w:rPr>
            </w:pPr>
            <w:r>
              <w:rPr>
                <w:rFonts w:hint="default" w:ascii="Arial Narrow" w:hAnsi="Arial Narrow" w:eastAsia="Arial Narrow" w:cs="Arial Narrow"/>
                <w:i w:val="0"/>
                <w:iCs w:val="0"/>
                <w:color w:val="000000"/>
                <w:kern w:val="0"/>
                <w:sz w:val="24"/>
                <w:szCs w:val="24"/>
                <w:u w:val="none"/>
                <w:lang w:val="en-US" w:eastAsia="zh-CN" w:bidi="ar"/>
              </w:rPr>
              <w:t>39</w:t>
            </w:r>
          </w:p>
        </w:tc>
      </w:tr>
      <w:tr w14:paraId="451DBCF3">
        <w:tblPrEx>
          <w:tblCellMar>
            <w:top w:w="0" w:type="dxa"/>
            <w:left w:w="0" w:type="dxa"/>
            <w:bottom w:w="0" w:type="dxa"/>
            <w:right w:w="0" w:type="dxa"/>
          </w:tblCellMar>
        </w:tblPrEx>
        <w:trPr>
          <w:trHeight w:val="514" w:hRule="atLeast"/>
          <w:jc w:val="center"/>
        </w:trPr>
        <w:tc>
          <w:tcPr>
            <w:tcW w:w="1107" w:type="dxa"/>
            <w:tcBorders>
              <w:top w:val="single" w:color="000000" w:sz="4" w:space="0"/>
              <w:left w:val="single" w:color="000000" w:sz="4" w:space="0"/>
              <w:bottom w:val="single" w:color="000000" w:sz="4" w:space="0"/>
              <w:right w:val="single" w:color="auto" w:sz="4" w:space="0"/>
            </w:tcBorders>
            <w:shd w:val="clear" w:color="auto" w:fill="auto"/>
            <w:vAlign w:val="center"/>
          </w:tcPr>
          <w:p w14:paraId="54BF1C75">
            <w:pPr>
              <w:keepNext w:val="0"/>
              <w:keepLines w:val="0"/>
              <w:widowControl/>
              <w:suppressLineNumbers w:val="0"/>
              <w:jc w:val="center"/>
              <w:textAlignment w:val="center"/>
              <w:rPr>
                <w:rFonts w:cs="宋体"/>
                <w:kern w:val="0"/>
              </w:rPr>
            </w:pPr>
            <w:r>
              <w:rPr>
                <w:rFonts w:hint="eastAsia" w:ascii="宋体" w:hAnsi="宋体" w:eastAsia="宋体" w:cs="宋体"/>
                <w:i w:val="0"/>
                <w:iCs w:val="0"/>
                <w:color w:val="000000"/>
                <w:kern w:val="0"/>
                <w:sz w:val="24"/>
                <w:szCs w:val="24"/>
                <w:u w:val="none"/>
                <w:lang w:val="en-US" w:eastAsia="zh-CN" w:bidi="ar"/>
              </w:rPr>
              <w:t>比例</w:t>
            </w:r>
          </w:p>
        </w:tc>
        <w:tc>
          <w:tcPr>
            <w:tcW w:w="1382" w:type="dxa"/>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14:paraId="42B39D7B">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0</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7FAD3D83">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50.53%</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341DD5E2">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28.95%</w:t>
            </w:r>
          </w:p>
        </w:tc>
        <w:tc>
          <w:tcPr>
            <w:tcW w:w="1609" w:type="dxa"/>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14:paraId="77A30C59">
            <w:pPr>
              <w:keepNext w:val="0"/>
              <w:keepLines w:val="0"/>
              <w:widowControl/>
              <w:suppressLineNumbers w:val="0"/>
              <w:jc w:val="center"/>
              <w:textAlignment w:val="center"/>
              <w:rPr>
                <w:rFonts w:hint="eastAsia" w:ascii="宋体" w:hAnsi="宋体" w:cs="宋体"/>
                <w:color w:val="000000"/>
              </w:rPr>
            </w:pPr>
            <w:r>
              <w:rPr>
                <w:rFonts w:hint="default" w:ascii="Arial Narrow" w:hAnsi="Arial Narrow" w:eastAsia="Arial Narrow" w:cs="Arial Narrow"/>
                <w:i w:val="0"/>
                <w:iCs w:val="0"/>
                <w:color w:val="000000"/>
                <w:kern w:val="0"/>
                <w:sz w:val="24"/>
                <w:szCs w:val="24"/>
                <w:u w:val="none"/>
                <w:lang w:val="en-US" w:eastAsia="zh-CN" w:bidi="ar"/>
              </w:rPr>
              <w:t>20.53%</w:t>
            </w:r>
          </w:p>
        </w:tc>
      </w:tr>
      <w:bookmarkEnd w:id="44"/>
    </w:tbl>
    <w:p w14:paraId="486D1DFC">
      <w:pPr>
        <w:pStyle w:val="2"/>
        <w:spacing w:before="230" w:beforeLines="0" w:after="230" w:afterLines="0"/>
        <w:rPr>
          <w:kern w:val="2"/>
        </w:rPr>
      </w:pPr>
      <w:bookmarkStart w:id="45" w:name="_Toc185152212"/>
      <w:bookmarkStart w:id="46" w:name="_Toc43881072"/>
      <w:bookmarkStart w:id="47" w:name="_Toc103337519"/>
      <w:bookmarkStart w:id="48" w:name="_Toc98261490"/>
      <w:bookmarkStart w:id="49" w:name="_Hlt68660536"/>
      <w:r>
        <w:rPr>
          <w:rFonts w:hint="eastAsia"/>
          <w:kern w:val="2"/>
        </w:rPr>
        <w:t>7.</w:t>
      </w:r>
      <w:r>
        <w:rPr>
          <w:kern w:val="2"/>
        </w:rPr>
        <w:t xml:space="preserve"> </w:t>
      </w:r>
      <w:r>
        <w:rPr>
          <w:rFonts w:hint="eastAsia"/>
          <w:kern w:val="2"/>
        </w:rPr>
        <w:t>安全阀管理维护</w:t>
      </w:r>
      <w:bookmarkEnd w:id="45"/>
      <w:bookmarkEnd w:id="46"/>
    </w:p>
    <w:p w14:paraId="0DF5C03F">
      <w:pPr>
        <w:ind w:firstLine="480" w:firstLineChars="200"/>
        <w:rPr>
          <w:rFonts w:hint="eastAsia" w:ascii="宋体" w:hAnsi="宋体"/>
        </w:rPr>
      </w:pPr>
      <w:r>
        <w:rPr>
          <w:rFonts w:hint="eastAsia" w:ascii="宋体" w:hAnsi="宋体"/>
        </w:rPr>
        <w:t>（1）将弹簧式安全阀纳入日常设备管理，安全阀的定期巡检，须根据安全阀的风险情况，设定不同的巡检频率，高风险安全阀应提高巡检频率。定期检查运行中的安全阀是否有泄漏（可采用对安全阀出口管的温度检测、用听针听管内流体声音等方法判断安全阀是否有内漏），卡阻及弹簧锈蚀等不正常现象，并注意观察调节螺套及调节圈紧定螺钉的锁紧螺母是否有松动，若发现问题及时采取适当措施。如发现安全阀有泄漏迹象时，应及时更换或检验检修，禁止用加大载荷</w:t>
      </w:r>
      <w:r>
        <w:rPr>
          <w:rFonts w:ascii="宋体" w:hAnsi="宋体"/>
        </w:rPr>
        <w:t>(</w:t>
      </w:r>
      <w:r>
        <w:rPr>
          <w:rFonts w:hint="eastAsia" w:ascii="宋体" w:hAnsi="宋体"/>
        </w:rPr>
        <w:t>如过分拧紧弹簧式安全阀的调节螺丝或在杠杆式安全阀的杠杆上加挂重物等</w:t>
      </w:r>
      <w:r>
        <w:rPr>
          <w:rFonts w:ascii="宋体" w:hAnsi="宋体"/>
        </w:rPr>
        <w:t>)</w:t>
      </w:r>
      <w:r>
        <w:rPr>
          <w:rFonts w:hint="eastAsia" w:ascii="宋体" w:hAnsi="宋体"/>
        </w:rPr>
        <w:t>的方法来消除泄漏。</w:t>
      </w:r>
    </w:p>
    <w:p w14:paraId="27DCDC92">
      <w:pPr>
        <w:ind w:firstLine="480" w:firstLineChars="200"/>
        <w:rPr>
          <w:rFonts w:hint="eastAsia" w:ascii="宋体" w:hAnsi="宋体"/>
        </w:rPr>
      </w:pPr>
      <w:r>
        <w:rPr>
          <w:rFonts w:hint="eastAsia" w:ascii="宋体" w:hAnsi="宋体"/>
        </w:rPr>
        <w:t>（2）要经常保持安全阀的清洁，防止阀体弹簧等被油垢脏物填满或被腐蚀，防止安全阀排放管被油污或其他异物堵塞。经常检查铅封是否完好，防止随意拧动。</w:t>
      </w:r>
    </w:p>
    <w:p w14:paraId="5F06A2E8">
      <w:pPr>
        <w:ind w:firstLine="480" w:firstLineChars="200"/>
        <w:rPr>
          <w:rFonts w:hint="eastAsia" w:ascii="宋体" w:hAnsi="宋体"/>
        </w:rPr>
      </w:pPr>
      <w:r>
        <w:rPr>
          <w:rFonts w:hint="eastAsia" w:ascii="宋体" w:hAnsi="宋体"/>
        </w:rPr>
        <w:t>（3）为防止阀瓣和阀座被气体中的油垢等脏物粘住，致使安全阀不能正常开启，对用于空气、蒸汽或带有粘滞性脏物但排放不会造成危害的其他气体的安全阀，应定期做手提排放试验。</w:t>
      </w:r>
    </w:p>
    <w:p w14:paraId="1CA47E44">
      <w:pPr>
        <w:ind w:firstLine="480" w:firstLineChars="200"/>
        <w:rPr>
          <w:rFonts w:hint="eastAsia" w:ascii="宋体" w:hAnsi="宋体"/>
        </w:rPr>
      </w:pPr>
      <w:r>
        <w:rPr>
          <w:rFonts w:hint="eastAsia" w:ascii="宋体" w:hAnsi="宋体"/>
        </w:rPr>
        <w:t>（4）</w:t>
      </w:r>
      <w:r>
        <w:rPr>
          <w:rFonts w:ascii="宋体" w:hAnsi="宋体"/>
        </w:rPr>
        <w:t>安全阀排放管道有积水时，还应定期检查排放积水，防止安全阀出口管道因积水而增加背压，影响安全阀的动作性能。</w:t>
      </w:r>
    </w:p>
    <w:p w14:paraId="6D8CC454">
      <w:pPr>
        <w:ind w:firstLine="480" w:firstLineChars="200"/>
        <w:rPr>
          <w:rFonts w:hint="eastAsia" w:ascii="宋体" w:hAnsi="宋体"/>
        </w:rPr>
      </w:pPr>
      <w:r>
        <w:rPr>
          <w:rFonts w:hint="eastAsia" w:ascii="宋体" w:hAnsi="宋体"/>
        </w:rPr>
        <w:t>（5）</w:t>
      </w:r>
      <w:r>
        <w:rPr>
          <w:rFonts w:ascii="宋体" w:hAnsi="宋体"/>
        </w:rPr>
        <w:t>安全阀外表有无腐蚀，表面温度是否正常，有无异常结霜结冰或温度异常。</w:t>
      </w:r>
    </w:p>
    <w:p w14:paraId="4C54AB3F">
      <w:pPr>
        <w:ind w:firstLine="480" w:firstLineChars="200"/>
        <w:rPr>
          <w:rFonts w:hint="eastAsia" w:ascii="宋体" w:hAnsi="宋体"/>
        </w:rPr>
      </w:pPr>
      <w:r>
        <w:rPr>
          <w:rFonts w:ascii="宋体" w:hAnsi="宋体"/>
        </w:rPr>
        <w:t>（</w:t>
      </w:r>
      <w:r>
        <w:rPr>
          <w:rFonts w:hint="eastAsia" w:ascii="宋体" w:hAnsi="宋体"/>
        </w:rPr>
        <w:t>6</w:t>
      </w:r>
      <w:r>
        <w:rPr>
          <w:rFonts w:ascii="宋体" w:hAnsi="宋体"/>
        </w:rPr>
        <w:t>）安全阀的附属设施运行是否正常，如有冷却水夹套的安全阀，冷却水供给是否正常</w:t>
      </w:r>
      <w:r>
        <w:rPr>
          <w:rFonts w:hint="eastAsia" w:ascii="宋体" w:hAnsi="宋体"/>
        </w:rPr>
        <w:t>。</w:t>
      </w:r>
    </w:p>
    <w:p w14:paraId="673A7CE8">
      <w:pPr>
        <w:ind w:firstLine="480" w:firstLineChars="200"/>
        <w:rPr>
          <w:rFonts w:hint="eastAsia" w:ascii="宋体" w:hAnsi="宋体"/>
        </w:rPr>
      </w:pPr>
      <w:r>
        <w:rPr>
          <w:rFonts w:ascii="宋体" w:hAnsi="宋体"/>
        </w:rPr>
        <w:t>（</w:t>
      </w:r>
      <w:r>
        <w:rPr>
          <w:rFonts w:hint="eastAsia" w:ascii="宋体" w:hAnsi="宋体"/>
        </w:rPr>
        <w:t>7</w:t>
      </w:r>
      <w:r>
        <w:rPr>
          <w:rFonts w:ascii="宋体" w:hAnsi="宋体"/>
        </w:rPr>
        <w:t>）带波纹管的安全阀，为波纹管设置的泄出口应当是敞开的和清洁的。</w:t>
      </w:r>
    </w:p>
    <w:p w14:paraId="49D6B522">
      <w:pPr>
        <w:ind w:firstLine="480" w:firstLineChars="200"/>
        <w:rPr>
          <w:rFonts w:hint="eastAsia" w:ascii="宋体" w:hAnsi="宋体"/>
        </w:rPr>
      </w:pPr>
      <w:r>
        <w:rPr>
          <w:rFonts w:ascii="宋体" w:hAnsi="宋体"/>
        </w:rPr>
        <w:t>（</w:t>
      </w:r>
      <w:r>
        <w:rPr>
          <w:rFonts w:hint="eastAsia" w:ascii="宋体" w:hAnsi="宋体"/>
        </w:rPr>
        <w:t>8</w:t>
      </w:r>
      <w:r>
        <w:rPr>
          <w:rFonts w:ascii="宋体" w:hAnsi="宋体"/>
        </w:rPr>
        <w:t>）安全阀周围环境良好，安全阀应处于正常的工作状态，没有影响安全阀运行的因素，如：带扳手弹簧式安全阀不能有压在提升螺母上和限制安全阀启跳，或者不能达到应开启高度的阻碍物品。</w:t>
      </w:r>
    </w:p>
    <w:p w14:paraId="4CEFC5EC">
      <w:pPr>
        <w:ind w:firstLine="480" w:firstLineChars="200"/>
        <w:rPr>
          <w:rFonts w:hint="eastAsia" w:ascii="宋体" w:hAnsi="宋体"/>
        </w:rPr>
      </w:pPr>
      <w:r>
        <w:rPr>
          <w:rFonts w:ascii="宋体" w:hAnsi="宋体"/>
        </w:rPr>
        <w:t>（</w:t>
      </w:r>
      <w:r>
        <w:rPr>
          <w:rFonts w:hint="eastAsia" w:ascii="宋体" w:hAnsi="宋体"/>
        </w:rPr>
        <w:t>9</w:t>
      </w:r>
      <w:r>
        <w:rPr>
          <w:rFonts w:ascii="宋体" w:hAnsi="宋体"/>
        </w:rPr>
        <w:t>）必须设置截断阀的情况时，安全阀上游和下游的截断阀的铅封或锁紧机构是否完好，并且处于正常开启</w:t>
      </w:r>
      <w:r>
        <w:rPr>
          <w:rFonts w:hint="eastAsia" w:ascii="宋体" w:hAnsi="宋体"/>
        </w:rPr>
        <w:t>。</w:t>
      </w:r>
    </w:p>
    <w:p w14:paraId="2588D025">
      <w:pPr>
        <w:ind w:firstLine="420"/>
        <w:rPr>
          <w:rFonts w:hint="eastAsia" w:ascii="宋体" w:hAnsi="宋体"/>
        </w:rPr>
      </w:pPr>
      <w:r>
        <w:rPr>
          <w:rFonts w:ascii="宋体" w:hAnsi="宋体"/>
        </w:rPr>
        <w:t>（</w:t>
      </w:r>
      <w:r>
        <w:rPr>
          <w:rFonts w:hint="eastAsia" w:ascii="宋体" w:hAnsi="宋体"/>
        </w:rPr>
        <w:t>10</w:t>
      </w:r>
      <w:r>
        <w:rPr>
          <w:rFonts w:ascii="宋体" w:hAnsi="宋体"/>
        </w:rPr>
        <w:t>）</w:t>
      </w:r>
      <w:r>
        <w:rPr>
          <w:rFonts w:hint="eastAsia"/>
          <w:bCs/>
          <w:color w:val="000000"/>
        </w:rPr>
        <w:t>对于安全阀的日常管理要准确到位，若管理不善，安全阀的风险等级也会提高。</w:t>
      </w:r>
    </w:p>
    <w:p w14:paraId="70D0A2F3">
      <w:pPr>
        <w:pStyle w:val="2"/>
        <w:spacing w:before="230" w:beforeLines="0" w:after="230" w:afterLines="0"/>
        <w:rPr>
          <w:kern w:val="2"/>
        </w:rPr>
      </w:pPr>
      <w:bookmarkStart w:id="50" w:name="_Toc185152215"/>
      <w:r>
        <w:rPr>
          <w:rFonts w:hint="eastAsia"/>
          <w:kern w:val="2"/>
        </w:rPr>
        <w:t>8.</w:t>
      </w:r>
      <w:r>
        <w:rPr>
          <w:kern w:val="2"/>
        </w:rPr>
        <w:t xml:space="preserve"> </w:t>
      </w:r>
      <w:r>
        <w:rPr>
          <w:rFonts w:hint="eastAsia"/>
          <w:kern w:val="2"/>
        </w:rPr>
        <w:t>结束语</w:t>
      </w:r>
      <w:bookmarkEnd w:id="50"/>
    </w:p>
    <w:p w14:paraId="0F082BFB">
      <w:pPr>
        <w:ind w:firstLine="480"/>
      </w:pPr>
      <w:r>
        <w:rPr>
          <w:rFonts w:hint="eastAsia"/>
        </w:rPr>
        <w:t>本次风险评估项目是在</w:t>
      </w:r>
      <w:r>
        <w:rPr>
          <w:rFonts w:hint="eastAsia"/>
          <w:lang w:val="en-US" w:eastAsia="zh-CN"/>
        </w:rPr>
        <w:t>大庆炼化</w:t>
      </w:r>
      <w:r>
        <w:rPr>
          <w:rFonts w:hint="eastAsia"/>
        </w:rPr>
        <w:t>领导、公司机动部的大力支持与帮助下、在装置领导及相关工作人员的大力合作下，得以顺利完成，在此对</w:t>
      </w:r>
      <w:r>
        <w:rPr>
          <w:rFonts w:hint="eastAsia"/>
          <w:lang w:val="en-US" w:eastAsia="zh-CN"/>
        </w:rPr>
        <w:t>大庆炼化</w:t>
      </w:r>
      <w:r>
        <w:rPr>
          <w:rFonts w:hint="eastAsia"/>
        </w:rPr>
        <w:t>的领导及各成员表示衷心感谢！通过本次风险评估项目，我们希望厂方对此工作能持续关注，同时提出如下建议：</w:t>
      </w:r>
    </w:p>
    <w:p w14:paraId="478BFEA5">
      <w:pPr>
        <w:widowControl/>
        <w:numPr>
          <w:ilvl w:val="0"/>
          <w:numId w:val="2"/>
        </w:numPr>
        <w:tabs>
          <w:tab w:val="left" w:pos="0"/>
        </w:tabs>
        <w:ind w:left="0" w:firstLine="480" w:firstLineChars="200"/>
      </w:pPr>
      <w:r>
        <w:rPr>
          <w:rFonts w:hint="eastAsia"/>
        </w:rPr>
        <w:t>RBI技术的目的是保障设备的安全、提高企业的管理水平、提高技术人员的技术水平、优化检验策略等。因此，希望通过本次RBI项目，能切实提高本企业的风险管理水平。</w:t>
      </w:r>
    </w:p>
    <w:p w14:paraId="60B4DE33">
      <w:pPr>
        <w:widowControl/>
        <w:numPr>
          <w:ilvl w:val="0"/>
          <w:numId w:val="2"/>
        </w:numPr>
        <w:tabs>
          <w:tab w:val="clear" w:pos="795"/>
        </w:tabs>
        <w:ind w:left="0" w:firstLine="480"/>
      </w:pPr>
      <w:r>
        <w:rPr>
          <w:rFonts w:hint="eastAsia"/>
        </w:rPr>
        <w:t>开展RBI再评估工作。一个完整的RBI，应包括RBI再评估工作。即通过本次提供的检验策略进行检验后，根据检验情况，对装置安全阀进行再次评估，调整风险，提出更切合实际情况的风险控制措施，保证装置的安全运行，具有重要意义。</w:t>
      </w:r>
    </w:p>
    <w:p w14:paraId="15BD37B3">
      <w:pPr>
        <w:widowControl/>
        <w:numPr>
          <w:ilvl w:val="0"/>
          <w:numId w:val="2"/>
        </w:numPr>
        <w:tabs>
          <w:tab w:val="clear" w:pos="795"/>
        </w:tabs>
        <w:ind w:left="0" w:firstLine="480"/>
      </w:pPr>
      <w:r>
        <w:rPr>
          <w:rFonts w:hint="eastAsia"/>
        </w:rPr>
        <w:t>基于风险的检验是风险管理的一部分，企业应尽量将RBI、RCM(以可靠性为中心的维护)与SIL(安全连锁系统定量安全评估)协同发展，建立基于风险的设备完整性管理体系。</w:t>
      </w:r>
    </w:p>
    <w:p w14:paraId="26483879">
      <w:pPr>
        <w:pStyle w:val="2"/>
        <w:spacing w:before="230" w:beforeLines="0" w:after="230" w:afterLines="0"/>
        <w:rPr>
          <w:color w:val="000000"/>
          <w:kern w:val="2"/>
        </w:rPr>
      </w:pPr>
      <w:bookmarkStart w:id="51" w:name="_Toc185152216"/>
      <w:r>
        <w:rPr>
          <w:color w:val="000000"/>
          <w:kern w:val="2"/>
        </w:rPr>
        <w:t>附录</w:t>
      </w:r>
      <w:bookmarkEnd w:id="47"/>
      <w:bookmarkEnd w:id="48"/>
      <w:bookmarkEnd w:id="51"/>
    </w:p>
    <w:bookmarkEnd w:id="49"/>
    <w:p w14:paraId="3BAB35C0">
      <w:pPr>
        <w:pStyle w:val="3"/>
        <w:tabs>
          <w:tab w:val="left" w:pos="840"/>
          <w:tab w:val="clear" w:pos="480"/>
        </w:tabs>
        <w:spacing w:before="115" w:beforeLines="25" w:after="115" w:afterLines="25"/>
        <w:rPr>
          <w:color w:val="000000"/>
        </w:rPr>
      </w:pPr>
      <w:bookmarkStart w:id="52" w:name="_Toc347149321"/>
      <w:bookmarkStart w:id="53" w:name="_Toc164526747"/>
      <w:bookmarkStart w:id="54" w:name="_Toc185152217"/>
      <w:bookmarkStart w:id="55" w:name="_Toc65553395"/>
      <w:bookmarkStart w:id="56" w:name="_Toc65514179"/>
      <w:bookmarkStart w:id="57" w:name="_Toc65514177"/>
      <w:bookmarkStart w:id="58" w:name="_Toc65318183"/>
      <w:bookmarkStart w:id="59" w:name="_Toc65513837"/>
      <w:bookmarkStart w:id="60" w:name="_Toc65513839"/>
      <w:bookmarkStart w:id="61" w:name="_Toc65513958"/>
      <w:bookmarkStart w:id="62" w:name="_Toc65553397"/>
      <w:bookmarkStart w:id="63" w:name="_Hlt68148956"/>
      <w:bookmarkStart w:id="64" w:name="_Toc65513960"/>
      <w:r>
        <w:rPr>
          <w:color w:val="000000"/>
        </w:rPr>
        <w:t>附录</w:t>
      </w:r>
      <w:r>
        <w:rPr>
          <w:rFonts w:hint="eastAsia"/>
          <w:color w:val="000000"/>
        </w:rPr>
        <w:t>1</w:t>
      </w:r>
      <w:r>
        <w:rPr>
          <w:color w:val="000000"/>
        </w:rPr>
        <w:t>.</w:t>
      </w:r>
      <w:r>
        <w:rPr>
          <w:rFonts w:hint="eastAsia"/>
          <w:color w:val="000000"/>
        </w:rPr>
        <w:t xml:space="preserve"> </w:t>
      </w:r>
      <w:bookmarkEnd w:id="52"/>
      <w:bookmarkEnd w:id="53"/>
      <w:r>
        <w:rPr>
          <w:rFonts w:hint="eastAsia"/>
          <w:color w:val="000000"/>
        </w:rPr>
        <w:t>安全阀基础数据表</w:t>
      </w:r>
      <w:bookmarkEnd w:id="54"/>
    </w:p>
    <w:p w14:paraId="3239DEA4">
      <w:pPr>
        <w:pStyle w:val="3"/>
        <w:tabs>
          <w:tab w:val="left" w:pos="840"/>
          <w:tab w:val="clear" w:pos="480"/>
        </w:tabs>
        <w:spacing w:before="115" w:beforeLines="25" w:after="115" w:afterLines="25"/>
        <w:rPr>
          <w:rFonts w:hint="eastAsia" w:eastAsia="黑体"/>
          <w:color w:val="000000"/>
          <w:lang w:val="en-US" w:eastAsia="zh-CN"/>
        </w:rPr>
      </w:pPr>
      <w:bookmarkStart w:id="65" w:name="_Toc347149322"/>
      <w:bookmarkStart w:id="66" w:name="_Toc185152218"/>
      <w:r>
        <w:rPr>
          <w:color w:val="000000"/>
        </w:rPr>
        <w:t>附录</w:t>
      </w:r>
      <w:r>
        <w:rPr>
          <w:rFonts w:hint="eastAsia"/>
          <w:color w:val="000000"/>
        </w:rPr>
        <w:t>2</w:t>
      </w:r>
      <w:r>
        <w:rPr>
          <w:color w:val="000000"/>
        </w:rPr>
        <w:t>.</w:t>
      </w:r>
      <w:bookmarkEnd w:id="65"/>
      <w:r>
        <w:rPr>
          <w:rFonts w:hint="eastAsia"/>
          <w:color w:val="000000"/>
        </w:rPr>
        <w:t xml:space="preserve"> 安全阀风险等级、下次校验</w:t>
      </w:r>
      <w:bookmarkEnd w:id="55"/>
      <w:bookmarkEnd w:id="56"/>
      <w:bookmarkEnd w:id="57"/>
      <w:bookmarkEnd w:id="58"/>
      <w:bookmarkEnd w:id="59"/>
      <w:bookmarkEnd w:id="60"/>
      <w:bookmarkEnd w:id="61"/>
      <w:bookmarkEnd w:id="62"/>
      <w:bookmarkEnd w:id="63"/>
      <w:bookmarkEnd w:id="64"/>
      <w:bookmarkEnd w:id="66"/>
      <w:r>
        <w:rPr>
          <w:rFonts w:hint="eastAsia"/>
          <w:color w:val="000000"/>
          <w:lang w:val="en-US" w:eastAsia="zh-CN"/>
        </w:rPr>
        <w:t>时间</w:t>
      </w:r>
    </w:p>
    <w:sectPr>
      <w:pgSz w:w="11906" w:h="16838"/>
      <w:pgMar w:top="1418" w:right="1418" w:bottom="1418" w:left="1701" w:header="1134" w:footer="1134" w:gutter="0"/>
      <w:pgNumType w:start="1"/>
      <w:cols w:space="720" w:num="1"/>
      <w:docGrid w:type="lines" w:linePitch="4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
    <w:altName w:val="黑体"/>
    <w:panose1 w:val="00000000000000000000"/>
    <w:charset w:val="86"/>
    <w:family w:val="auto"/>
    <w:pitch w:val="default"/>
    <w:sig w:usb0="00000000" w:usb1="00000000" w:usb2="00000010" w:usb3="00000000" w:csb0="00040000" w:csb1="00000000"/>
  </w:font>
  <w:font w:name="Arial Unicode MS">
    <w:panose1 w:val="020B0604020202020204"/>
    <w:charset w:val="86"/>
    <w:family w:val="roman"/>
    <w:pitch w:val="default"/>
    <w:sig w:usb0="F7FFAEFF" w:usb1="F9DFFFFF" w:usb2="0000007F" w:usb3="00000000" w:csb0="203F01FF" w:csb1="DFFF0000"/>
  </w:font>
  <w:font w:name="MS Sans Serif">
    <w:altName w:val="Arial"/>
    <w:panose1 w:val="00000000000000000000"/>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EBE26">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1</w:t>
    </w:r>
    <w:r>
      <w:fldChar w:fldCharType="end"/>
    </w:r>
  </w:p>
  <w:p w14:paraId="67019D08">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367FF">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11</w:t>
    </w:r>
    <w:r>
      <w:fldChar w:fldCharType="end"/>
    </w:r>
  </w:p>
  <w:p w14:paraId="01796587">
    <w:pPr>
      <w:pStyle w:val="19"/>
      <w:rPr>
        <w:bCs/>
        <w:color w:val="000000"/>
        <w:szCs w:val="20"/>
        <w:lang w:val="zh-CN"/>
      </w:rPr>
    </w:pPr>
    <w:r>
      <w:rPr>
        <w:rFonts w:hint="eastAsia"/>
        <w:bCs/>
        <w:color w:val="000000"/>
        <w:szCs w:val="20"/>
        <w:lang w:val="en-US" w:eastAsia="zh-CN"/>
      </w:rPr>
      <w:t>大庆炼化部分</w:t>
    </w:r>
    <w:r>
      <w:rPr>
        <w:rFonts w:hint="eastAsia"/>
        <w:bCs/>
        <w:color w:val="000000"/>
        <w:szCs w:val="20"/>
        <w:lang w:val="zh-CN"/>
      </w:rPr>
      <w:t>安全阀RBI报告</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86405">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1</w:t>
    </w:r>
    <w:r>
      <w:fldChar w:fldCharType="end"/>
    </w:r>
  </w:p>
  <w:p w14:paraId="3761E3EA">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C76E1">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795"/>
        </w:tabs>
        <w:ind w:left="795" w:hanging="79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AF605B4"/>
    <w:multiLevelType w:val="multilevel"/>
    <w:tmpl w:val="7AF605B4"/>
    <w:lvl w:ilvl="0" w:tentative="0">
      <w:start w:val="1"/>
      <w:numFmt w:val="bullet"/>
      <w:lvlText w:val=""/>
      <w:lvlJc w:val="left"/>
      <w:pPr>
        <w:tabs>
          <w:tab w:val="left" w:pos="2121"/>
        </w:tabs>
        <w:ind w:left="2121" w:hanging="420"/>
      </w:pPr>
      <w:rPr>
        <w:rFonts w:hint="default" w:ascii="Wingdings" w:hAnsi="Wingdings"/>
      </w:rPr>
    </w:lvl>
    <w:lvl w:ilvl="1" w:tentative="0">
      <w:start w:val="1"/>
      <w:numFmt w:val="bullet"/>
      <w:lvlText w:val=""/>
      <w:lvlJc w:val="left"/>
      <w:pPr>
        <w:tabs>
          <w:tab w:val="left" w:pos="2541"/>
        </w:tabs>
        <w:ind w:left="2541" w:hanging="420"/>
      </w:pPr>
      <w:rPr>
        <w:rFonts w:hint="default" w:ascii="Wingdings" w:hAnsi="Wingdings"/>
      </w:rPr>
    </w:lvl>
    <w:lvl w:ilvl="2" w:tentative="0">
      <w:start w:val="1"/>
      <w:numFmt w:val="bullet"/>
      <w:lvlText w:val=""/>
      <w:lvlJc w:val="left"/>
      <w:pPr>
        <w:tabs>
          <w:tab w:val="left" w:pos="2961"/>
        </w:tabs>
        <w:ind w:left="2961" w:hanging="420"/>
      </w:pPr>
      <w:rPr>
        <w:rFonts w:hint="default" w:ascii="Wingdings" w:hAnsi="Wingdings"/>
      </w:rPr>
    </w:lvl>
    <w:lvl w:ilvl="3" w:tentative="0">
      <w:start w:val="1"/>
      <w:numFmt w:val="bullet"/>
      <w:lvlText w:val=""/>
      <w:lvlJc w:val="left"/>
      <w:pPr>
        <w:tabs>
          <w:tab w:val="left" w:pos="3381"/>
        </w:tabs>
        <w:ind w:left="3381" w:hanging="420"/>
      </w:pPr>
      <w:rPr>
        <w:rFonts w:hint="default" w:ascii="Wingdings" w:hAnsi="Wingdings"/>
      </w:rPr>
    </w:lvl>
    <w:lvl w:ilvl="4" w:tentative="0">
      <w:start w:val="1"/>
      <w:numFmt w:val="bullet"/>
      <w:lvlText w:val=""/>
      <w:lvlJc w:val="left"/>
      <w:pPr>
        <w:tabs>
          <w:tab w:val="left" w:pos="3801"/>
        </w:tabs>
        <w:ind w:left="3801" w:hanging="420"/>
      </w:pPr>
      <w:rPr>
        <w:rFonts w:hint="default" w:ascii="Wingdings" w:hAnsi="Wingdings"/>
      </w:rPr>
    </w:lvl>
    <w:lvl w:ilvl="5" w:tentative="0">
      <w:start w:val="1"/>
      <w:numFmt w:val="bullet"/>
      <w:lvlText w:val=""/>
      <w:lvlJc w:val="left"/>
      <w:pPr>
        <w:tabs>
          <w:tab w:val="left" w:pos="4221"/>
        </w:tabs>
        <w:ind w:left="4221" w:hanging="420"/>
      </w:pPr>
      <w:rPr>
        <w:rFonts w:hint="default" w:ascii="Wingdings" w:hAnsi="Wingdings"/>
      </w:rPr>
    </w:lvl>
    <w:lvl w:ilvl="6" w:tentative="0">
      <w:start w:val="1"/>
      <w:numFmt w:val="bullet"/>
      <w:lvlText w:val=""/>
      <w:lvlJc w:val="left"/>
      <w:pPr>
        <w:tabs>
          <w:tab w:val="left" w:pos="4641"/>
        </w:tabs>
        <w:ind w:left="4641" w:hanging="420"/>
      </w:pPr>
      <w:rPr>
        <w:rFonts w:hint="default" w:ascii="Wingdings" w:hAnsi="Wingdings"/>
      </w:rPr>
    </w:lvl>
    <w:lvl w:ilvl="7" w:tentative="0">
      <w:start w:val="1"/>
      <w:numFmt w:val="bullet"/>
      <w:lvlText w:val=""/>
      <w:lvlJc w:val="left"/>
      <w:pPr>
        <w:tabs>
          <w:tab w:val="left" w:pos="5061"/>
        </w:tabs>
        <w:ind w:left="5061" w:hanging="420"/>
      </w:pPr>
      <w:rPr>
        <w:rFonts w:hint="default" w:ascii="Wingdings" w:hAnsi="Wingdings"/>
      </w:rPr>
    </w:lvl>
    <w:lvl w:ilvl="8" w:tentative="0">
      <w:start w:val="1"/>
      <w:numFmt w:val="bullet"/>
      <w:lvlText w:val=""/>
      <w:lvlJc w:val="left"/>
      <w:pPr>
        <w:tabs>
          <w:tab w:val="left" w:pos="5481"/>
        </w:tabs>
        <w:ind w:left="5481"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9C"/>
    <w:rsid w:val="00001DF6"/>
    <w:rsid w:val="00012EF4"/>
    <w:rsid w:val="0003443C"/>
    <w:rsid w:val="00035313"/>
    <w:rsid w:val="0003616D"/>
    <w:rsid w:val="0003639E"/>
    <w:rsid w:val="000512CF"/>
    <w:rsid w:val="00051D9B"/>
    <w:rsid w:val="00053138"/>
    <w:rsid w:val="000533C1"/>
    <w:rsid w:val="00053641"/>
    <w:rsid w:val="00054835"/>
    <w:rsid w:val="0006075C"/>
    <w:rsid w:val="00063EBF"/>
    <w:rsid w:val="00064EA6"/>
    <w:rsid w:val="00073435"/>
    <w:rsid w:val="000747AF"/>
    <w:rsid w:val="00077042"/>
    <w:rsid w:val="0007792A"/>
    <w:rsid w:val="00085881"/>
    <w:rsid w:val="00085B77"/>
    <w:rsid w:val="00087B4F"/>
    <w:rsid w:val="000963BD"/>
    <w:rsid w:val="00096A3C"/>
    <w:rsid w:val="000978C0"/>
    <w:rsid w:val="000A0060"/>
    <w:rsid w:val="000A1341"/>
    <w:rsid w:val="000A4287"/>
    <w:rsid w:val="000B119B"/>
    <w:rsid w:val="000B26DE"/>
    <w:rsid w:val="000B4A56"/>
    <w:rsid w:val="000B5706"/>
    <w:rsid w:val="000C2543"/>
    <w:rsid w:val="000E239A"/>
    <w:rsid w:val="000E400B"/>
    <w:rsid w:val="000F523D"/>
    <w:rsid w:val="000F59FD"/>
    <w:rsid w:val="000F696E"/>
    <w:rsid w:val="000F72EA"/>
    <w:rsid w:val="000F7D05"/>
    <w:rsid w:val="001006D2"/>
    <w:rsid w:val="00101B20"/>
    <w:rsid w:val="001035E2"/>
    <w:rsid w:val="0010687A"/>
    <w:rsid w:val="00106DE3"/>
    <w:rsid w:val="00107A6F"/>
    <w:rsid w:val="001179BF"/>
    <w:rsid w:val="00120696"/>
    <w:rsid w:val="001211E7"/>
    <w:rsid w:val="00126358"/>
    <w:rsid w:val="00131B9D"/>
    <w:rsid w:val="00132BEC"/>
    <w:rsid w:val="00133D43"/>
    <w:rsid w:val="00141084"/>
    <w:rsid w:val="0014610B"/>
    <w:rsid w:val="00147377"/>
    <w:rsid w:val="00147A27"/>
    <w:rsid w:val="001543B0"/>
    <w:rsid w:val="001607EF"/>
    <w:rsid w:val="0016106D"/>
    <w:rsid w:val="0016496B"/>
    <w:rsid w:val="00167CF6"/>
    <w:rsid w:val="00172670"/>
    <w:rsid w:val="00172A27"/>
    <w:rsid w:val="00180A9F"/>
    <w:rsid w:val="00181F9F"/>
    <w:rsid w:val="00186F32"/>
    <w:rsid w:val="00191302"/>
    <w:rsid w:val="0019168B"/>
    <w:rsid w:val="00194261"/>
    <w:rsid w:val="00194697"/>
    <w:rsid w:val="00196B11"/>
    <w:rsid w:val="00197F3C"/>
    <w:rsid w:val="001A0C35"/>
    <w:rsid w:val="001A7F66"/>
    <w:rsid w:val="001C0BE2"/>
    <w:rsid w:val="001C1EEA"/>
    <w:rsid w:val="001C2465"/>
    <w:rsid w:val="001C364C"/>
    <w:rsid w:val="001C407A"/>
    <w:rsid w:val="001D46C6"/>
    <w:rsid w:val="001D56AA"/>
    <w:rsid w:val="001E2E1F"/>
    <w:rsid w:val="001E5676"/>
    <w:rsid w:val="001F39DD"/>
    <w:rsid w:val="001F73CE"/>
    <w:rsid w:val="001F73F6"/>
    <w:rsid w:val="00207760"/>
    <w:rsid w:val="0021029A"/>
    <w:rsid w:val="00210F8D"/>
    <w:rsid w:val="0021511B"/>
    <w:rsid w:val="0021640D"/>
    <w:rsid w:val="002222C7"/>
    <w:rsid w:val="00225312"/>
    <w:rsid w:val="00225870"/>
    <w:rsid w:val="00226D64"/>
    <w:rsid w:val="00233FCF"/>
    <w:rsid w:val="00234A9D"/>
    <w:rsid w:val="00235281"/>
    <w:rsid w:val="00237B2D"/>
    <w:rsid w:val="00240509"/>
    <w:rsid w:val="00240CAD"/>
    <w:rsid w:val="00242442"/>
    <w:rsid w:val="00252BAF"/>
    <w:rsid w:val="002611B3"/>
    <w:rsid w:val="00263272"/>
    <w:rsid w:val="00271642"/>
    <w:rsid w:val="00271CF9"/>
    <w:rsid w:val="00272757"/>
    <w:rsid w:val="00274668"/>
    <w:rsid w:val="00275B20"/>
    <w:rsid w:val="00276EA1"/>
    <w:rsid w:val="00282CF4"/>
    <w:rsid w:val="002835D3"/>
    <w:rsid w:val="002836E9"/>
    <w:rsid w:val="00283E1F"/>
    <w:rsid w:val="002860B8"/>
    <w:rsid w:val="00290B86"/>
    <w:rsid w:val="002A1904"/>
    <w:rsid w:val="002A2715"/>
    <w:rsid w:val="002A2BDA"/>
    <w:rsid w:val="002A4609"/>
    <w:rsid w:val="002A6004"/>
    <w:rsid w:val="002B056B"/>
    <w:rsid w:val="002B08AA"/>
    <w:rsid w:val="002B192B"/>
    <w:rsid w:val="002B2148"/>
    <w:rsid w:val="002B32D9"/>
    <w:rsid w:val="002B6313"/>
    <w:rsid w:val="002B7A7A"/>
    <w:rsid w:val="002C660C"/>
    <w:rsid w:val="002C7811"/>
    <w:rsid w:val="002D18E9"/>
    <w:rsid w:val="002D2747"/>
    <w:rsid w:val="002D46F5"/>
    <w:rsid w:val="002E000D"/>
    <w:rsid w:val="002E050D"/>
    <w:rsid w:val="002E18FC"/>
    <w:rsid w:val="002E1D7C"/>
    <w:rsid w:val="002E278F"/>
    <w:rsid w:val="002E3587"/>
    <w:rsid w:val="002E45B2"/>
    <w:rsid w:val="002F7647"/>
    <w:rsid w:val="00300289"/>
    <w:rsid w:val="003010E9"/>
    <w:rsid w:val="003027A4"/>
    <w:rsid w:val="00302C10"/>
    <w:rsid w:val="003033E6"/>
    <w:rsid w:val="00306A91"/>
    <w:rsid w:val="00313AA6"/>
    <w:rsid w:val="00313C48"/>
    <w:rsid w:val="00315DD0"/>
    <w:rsid w:val="003169E7"/>
    <w:rsid w:val="00322B37"/>
    <w:rsid w:val="00323817"/>
    <w:rsid w:val="00324D2F"/>
    <w:rsid w:val="00325667"/>
    <w:rsid w:val="0033183D"/>
    <w:rsid w:val="00332899"/>
    <w:rsid w:val="00333585"/>
    <w:rsid w:val="0033360D"/>
    <w:rsid w:val="00336D2F"/>
    <w:rsid w:val="00341806"/>
    <w:rsid w:val="00341C19"/>
    <w:rsid w:val="0034380A"/>
    <w:rsid w:val="00344D9E"/>
    <w:rsid w:val="00345938"/>
    <w:rsid w:val="00346A32"/>
    <w:rsid w:val="0034725E"/>
    <w:rsid w:val="0034792D"/>
    <w:rsid w:val="0035148F"/>
    <w:rsid w:val="003526DB"/>
    <w:rsid w:val="00355472"/>
    <w:rsid w:val="003704DE"/>
    <w:rsid w:val="00375D3F"/>
    <w:rsid w:val="003806AF"/>
    <w:rsid w:val="00381147"/>
    <w:rsid w:val="00381335"/>
    <w:rsid w:val="00383929"/>
    <w:rsid w:val="003854BC"/>
    <w:rsid w:val="00386E4E"/>
    <w:rsid w:val="0039194C"/>
    <w:rsid w:val="00393290"/>
    <w:rsid w:val="003955A1"/>
    <w:rsid w:val="0039706A"/>
    <w:rsid w:val="00397737"/>
    <w:rsid w:val="003A05E8"/>
    <w:rsid w:val="003A0C52"/>
    <w:rsid w:val="003A10D7"/>
    <w:rsid w:val="003A1ED1"/>
    <w:rsid w:val="003A3CB3"/>
    <w:rsid w:val="003B45B4"/>
    <w:rsid w:val="003B5FD6"/>
    <w:rsid w:val="003B6983"/>
    <w:rsid w:val="003B79B0"/>
    <w:rsid w:val="003C535B"/>
    <w:rsid w:val="003C5CFA"/>
    <w:rsid w:val="003D6097"/>
    <w:rsid w:val="003D63E7"/>
    <w:rsid w:val="003D7BC1"/>
    <w:rsid w:val="003E3AEB"/>
    <w:rsid w:val="003E448E"/>
    <w:rsid w:val="003E468F"/>
    <w:rsid w:val="003E47F7"/>
    <w:rsid w:val="003E6A09"/>
    <w:rsid w:val="003E7039"/>
    <w:rsid w:val="003F3802"/>
    <w:rsid w:val="00401640"/>
    <w:rsid w:val="004111CA"/>
    <w:rsid w:val="00412B39"/>
    <w:rsid w:val="00417631"/>
    <w:rsid w:val="00417B23"/>
    <w:rsid w:val="00420262"/>
    <w:rsid w:val="00424356"/>
    <w:rsid w:val="00425615"/>
    <w:rsid w:val="00434F9B"/>
    <w:rsid w:val="00441957"/>
    <w:rsid w:val="00443A93"/>
    <w:rsid w:val="004509E4"/>
    <w:rsid w:val="00452CCD"/>
    <w:rsid w:val="00453AB4"/>
    <w:rsid w:val="00456256"/>
    <w:rsid w:val="00461327"/>
    <w:rsid w:val="004616BB"/>
    <w:rsid w:val="00462F90"/>
    <w:rsid w:val="00464859"/>
    <w:rsid w:val="00464D51"/>
    <w:rsid w:val="00465331"/>
    <w:rsid w:val="00465732"/>
    <w:rsid w:val="00471A45"/>
    <w:rsid w:val="00472921"/>
    <w:rsid w:val="00480351"/>
    <w:rsid w:val="00481274"/>
    <w:rsid w:val="00482240"/>
    <w:rsid w:val="00482D41"/>
    <w:rsid w:val="00485DBE"/>
    <w:rsid w:val="00490359"/>
    <w:rsid w:val="00494642"/>
    <w:rsid w:val="00494F44"/>
    <w:rsid w:val="004A1F4A"/>
    <w:rsid w:val="004A60CD"/>
    <w:rsid w:val="004B37D3"/>
    <w:rsid w:val="004B3867"/>
    <w:rsid w:val="004B44E8"/>
    <w:rsid w:val="004B47B8"/>
    <w:rsid w:val="004B6E62"/>
    <w:rsid w:val="004C08C6"/>
    <w:rsid w:val="004C3F57"/>
    <w:rsid w:val="004D03B1"/>
    <w:rsid w:val="004D43A8"/>
    <w:rsid w:val="004D46A5"/>
    <w:rsid w:val="004D7136"/>
    <w:rsid w:val="004E0124"/>
    <w:rsid w:val="004E2E05"/>
    <w:rsid w:val="004E61A3"/>
    <w:rsid w:val="004E6DCD"/>
    <w:rsid w:val="004F60CF"/>
    <w:rsid w:val="0050062E"/>
    <w:rsid w:val="00500A30"/>
    <w:rsid w:val="00501A01"/>
    <w:rsid w:val="005024AD"/>
    <w:rsid w:val="00504325"/>
    <w:rsid w:val="00517928"/>
    <w:rsid w:val="0052122F"/>
    <w:rsid w:val="00524E95"/>
    <w:rsid w:val="00531FEF"/>
    <w:rsid w:val="0053620C"/>
    <w:rsid w:val="0053670F"/>
    <w:rsid w:val="0054182A"/>
    <w:rsid w:val="00542FC9"/>
    <w:rsid w:val="0055524C"/>
    <w:rsid w:val="0055705E"/>
    <w:rsid w:val="00557BD8"/>
    <w:rsid w:val="005606FF"/>
    <w:rsid w:val="00560CB0"/>
    <w:rsid w:val="00566BBC"/>
    <w:rsid w:val="00566CBE"/>
    <w:rsid w:val="00567DD7"/>
    <w:rsid w:val="00570248"/>
    <w:rsid w:val="00571D7F"/>
    <w:rsid w:val="005742C3"/>
    <w:rsid w:val="00574BCD"/>
    <w:rsid w:val="00576512"/>
    <w:rsid w:val="00583B56"/>
    <w:rsid w:val="00583DBB"/>
    <w:rsid w:val="0058715E"/>
    <w:rsid w:val="0059577D"/>
    <w:rsid w:val="005972D6"/>
    <w:rsid w:val="005A2335"/>
    <w:rsid w:val="005A26C3"/>
    <w:rsid w:val="005A2733"/>
    <w:rsid w:val="005A354A"/>
    <w:rsid w:val="005B40DB"/>
    <w:rsid w:val="005B52D2"/>
    <w:rsid w:val="005B7740"/>
    <w:rsid w:val="005C01CB"/>
    <w:rsid w:val="005C27FD"/>
    <w:rsid w:val="005C3AD5"/>
    <w:rsid w:val="005C61AE"/>
    <w:rsid w:val="005C6907"/>
    <w:rsid w:val="005C7912"/>
    <w:rsid w:val="005D0CAB"/>
    <w:rsid w:val="005D139E"/>
    <w:rsid w:val="005D2521"/>
    <w:rsid w:val="005D6671"/>
    <w:rsid w:val="005D7D06"/>
    <w:rsid w:val="005E4B44"/>
    <w:rsid w:val="005E6A1D"/>
    <w:rsid w:val="005E72BF"/>
    <w:rsid w:val="005E7B73"/>
    <w:rsid w:val="005E7F44"/>
    <w:rsid w:val="005F02A5"/>
    <w:rsid w:val="005F1875"/>
    <w:rsid w:val="005F271E"/>
    <w:rsid w:val="005F2A3A"/>
    <w:rsid w:val="005F521A"/>
    <w:rsid w:val="005F65B8"/>
    <w:rsid w:val="005F6718"/>
    <w:rsid w:val="00602BDF"/>
    <w:rsid w:val="00603D55"/>
    <w:rsid w:val="00605B1C"/>
    <w:rsid w:val="00606204"/>
    <w:rsid w:val="00606852"/>
    <w:rsid w:val="0061047D"/>
    <w:rsid w:val="00610B66"/>
    <w:rsid w:val="00612375"/>
    <w:rsid w:val="00612553"/>
    <w:rsid w:val="006137AB"/>
    <w:rsid w:val="00623399"/>
    <w:rsid w:val="006236FB"/>
    <w:rsid w:val="0062392A"/>
    <w:rsid w:val="00625377"/>
    <w:rsid w:val="0062589E"/>
    <w:rsid w:val="00627B88"/>
    <w:rsid w:val="00630234"/>
    <w:rsid w:val="00634E3D"/>
    <w:rsid w:val="00635832"/>
    <w:rsid w:val="00635DA9"/>
    <w:rsid w:val="0063601B"/>
    <w:rsid w:val="00637535"/>
    <w:rsid w:val="00637FBE"/>
    <w:rsid w:val="00641652"/>
    <w:rsid w:val="00650E86"/>
    <w:rsid w:val="00651AE3"/>
    <w:rsid w:val="00651D56"/>
    <w:rsid w:val="00656455"/>
    <w:rsid w:val="00660392"/>
    <w:rsid w:val="006638BB"/>
    <w:rsid w:val="0066665D"/>
    <w:rsid w:val="00672C37"/>
    <w:rsid w:val="00674B77"/>
    <w:rsid w:val="006825B4"/>
    <w:rsid w:val="00684895"/>
    <w:rsid w:val="006853C3"/>
    <w:rsid w:val="006871F5"/>
    <w:rsid w:val="00692697"/>
    <w:rsid w:val="006935E5"/>
    <w:rsid w:val="00696684"/>
    <w:rsid w:val="006A5D96"/>
    <w:rsid w:val="006A5E54"/>
    <w:rsid w:val="006B2FE7"/>
    <w:rsid w:val="006B7F3A"/>
    <w:rsid w:val="006C1A7F"/>
    <w:rsid w:val="006C26E8"/>
    <w:rsid w:val="006C2A69"/>
    <w:rsid w:val="006C48CE"/>
    <w:rsid w:val="006C4906"/>
    <w:rsid w:val="006C6A48"/>
    <w:rsid w:val="006D0844"/>
    <w:rsid w:val="006D5357"/>
    <w:rsid w:val="006E32AB"/>
    <w:rsid w:val="006E3960"/>
    <w:rsid w:val="006E3C8E"/>
    <w:rsid w:val="006E5691"/>
    <w:rsid w:val="006E7372"/>
    <w:rsid w:val="006E7C8B"/>
    <w:rsid w:val="006F3542"/>
    <w:rsid w:val="00701BA6"/>
    <w:rsid w:val="007023CE"/>
    <w:rsid w:val="00704425"/>
    <w:rsid w:val="00705263"/>
    <w:rsid w:val="00705900"/>
    <w:rsid w:val="00707118"/>
    <w:rsid w:val="00712CD8"/>
    <w:rsid w:val="007147B0"/>
    <w:rsid w:val="00716806"/>
    <w:rsid w:val="007168F9"/>
    <w:rsid w:val="00717E8D"/>
    <w:rsid w:val="00727067"/>
    <w:rsid w:val="007307DC"/>
    <w:rsid w:val="00731191"/>
    <w:rsid w:val="0073594C"/>
    <w:rsid w:val="00735997"/>
    <w:rsid w:val="00740163"/>
    <w:rsid w:val="007464FC"/>
    <w:rsid w:val="0075061A"/>
    <w:rsid w:val="00751A94"/>
    <w:rsid w:val="007529F4"/>
    <w:rsid w:val="00754CB0"/>
    <w:rsid w:val="00761532"/>
    <w:rsid w:val="007639A0"/>
    <w:rsid w:val="00763CCD"/>
    <w:rsid w:val="00764441"/>
    <w:rsid w:val="007659A9"/>
    <w:rsid w:val="00765DA7"/>
    <w:rsid w:val="00765EE1"/>
    <w:rsid w:val="0077265B"/>
    <w:rsid w:val="00772AB3"/>
    <w:rsid w:val="0077322A"/>
    <w:rsid w:val="00774F03"/>
    <w:rsid w:val="007806D6"/>
    <w:rsid w:val="00781BC0"/>
    <w:rsid w:val="00783CA7"/>
    <w:rsid w:val="00785312"/>
    <w:rsid w:val="00790388"/>
    <w:rsid w:val="0079588F"/>
    <w:rsid w:val="00797172"/>
    <w:rsid w:val="00797B59"/>
    <w:rsid w:val="00797E09"/>
    <w:rsid w:val="007A11A8"/>
    <w:rsid w:val="007A16FD"/>
    <w:rsid w:val="007A1E89"/>
    <w:rsid w:val="007A480D"/>
    <w:rsid w:val="007A54A0"/>
    <w:rsid w:val="007A74E5"/>
    <w:rsid w:val="007B2C9E"/>
    <w:rsid w:val="007B35C6"/>
    <w:rsid w:val="007B7A81"/>
    <w:rsid w:val="007B7C04"/>
    <w:rsid w:val="007C17FF"/>
    <w:rsid w:val="007C56E5"/>
    <w:rsid w:val="007D2320"/>
    <w:rsid w:val="007D26A3"/>
    <w:rsid w:val="007D4F09"/>
    <w:rsid w:val="007E32FD"/>
    <w:rsid w:val="007E3631"/>
    <w:rsid w:val="007E3B49"/>
    <w:rsid w:val="007E5913"/>
    <w:rsid w:val="007F0BA5"/>
    <w:rsid w:val="008017CE"/>
    <w:rsid w:val="00802A83"/>
    <w:rsid w:val="00803409"/>
    <w:rsid w:val="00806ED0"/>
    <w:rsid w:val="00812528"/>
    <w:rsid w:val="0081580D"/>
    <w:rsid w:val="00815EE8"/>
    <w:rsid w:val="00827CD3"/>
    <w:rsid w:val="008312A6"/>
    <w:rsid w:val="00832BC5"/>
    <w:rsid w:val="0084117D"/>
    <w:rsid w:val="00843371"/>
    <w:rsid w:val="008528FC"/>
    <w:rsid w:val="00860909"/>
    <w:rsid w:val="00870D71"/>
    <w:rsid w:val="008744AE"/>
    <w:rsid w:val="0087797C"/>
    <w:rsid w:val="008815F0"/>
    <w:rsid w:val="008830AE"/>
    <w:rsid w:val="008856D2"/>
    <w:rsid w:val="00890249"/>
    <w:rsid w:val="0089201D"/>
    <w:rsid w:val="00892494"/>
    <w:rsid w:val="00892F57"/>
    <w:rsid w:val="00893AE6"/>
    <w:rsid w:val="00895F26"/>
    <w:rsid w:val="0089662B"/>
    <w:rsid w:val="008A4B91"/>
    <w:rsid w:val="008A6DB6"/>
    <w:rsid w:val="008A7DA9"/>
    <w:rsid w:val="008B016A"/>
    <w:rsid w:val="008B3199"/>
    <w:rsid w:val="008B4AAB"/>
    <w:rsid w:val="008B66F9"/>
    <w:rsid w:val="008C06BF"/>
    <w:rsid w:val="008C1E81"/>
    <w:rsid w:val="008C4DA7"/>
    <w:rsid w:val="008C5F6A"/>
    <w:rsid w:val="008C7D9A"/>
    <w:rsid w:val="008D0767"/>
    <w:rsid w:val="008D094F"/>
    <w:rsid w:val="008D0BEF"/>
    <w:rsid w:val="008D3EE5"/>
    <w:rsid w:val="008D560F"/>
    <w:rsid w:val="008D6018"/>
    <w:rsid w:val="008E0BBA"/>
    <w:rsid w:val="008F153E"/>
    <w:rsid w:val="008F1D3E"/>
    <w:rsid w:val="008F5A0A"/>
    <w:rsid w:val="008F5AA9"/>
    <w:rsid w:val="008F7A41"/>
    <w:rsid w:val="00915624"/>
    <w:rsid w:val="00920372"/>
    <w:rsid w:val="00920BF2"/>
    <w:rsid w:val="00926E5F"/>
    <w:rsid w:val="00927AE0"/>
    <w:rsid w:val="0093165B"/>
    <w:rsid w:val="009415A2"/>
    <w:rsid w:val="00942C95"/>
    <w:rsid w:val="00946763"/>
    <w:rsid w:val="00952BA0"/>
    <w:rsid w:val="00955964"/>
    <w:rsid w:val="00956AB0"/>
    <w:rsid w:val="00956AD6"/>
    <w:rsid w:val="009605C7"/>
    <w:rsid w:val="00962FC3"/>
    <w:rsid w:val="009630E5"/>
    <w:rsid w:val="009639AA"/>
    <w:rsid w:val="00965366"/>
    <w:rsid w:val="009659FE"/>
    <w:rsid w:val="00966592"/>
    <w:rsid w:val="00967C7D"/>
    <w:rsid w:val="009713BB"/>
    <w:rsid w:val="00971A9E"/>
    <w:rsid w:val="009730AC"/>
    <w:rsid w:val="00977BEC"/>
    <w:rsid w:val="00981B78"/>
    <w:rsid w:val="00982C94"/>
    <w:rsid w:val="00983CC2"/>
    <w:rsid w:val="00984CBD"/>
    <w:rsid w:val="00985082"/>
    <w:rsid w:val="00985590"/>
    <w:rsid w:val="00985698"/>
    <w:rsid w:val="00986939"/>
    <w:rsid w:val="009A29E5"/>
    <w:rsid w:val="009A3BC8"/>
    <w:rsid w:val="009A624E"/>
    <w:rsid w:val="009A6F46"/>
    <w:rsid w:val="009B0A43"/>
    <w:rsid w:val="009B24B9"/>
    <w:rsid w:val="009B30FF"/>
    <w:rsid w:val="009B3866"/>
    <w:rsid w:val="009B5E31"/>
    <w:rsid w:val="009B6B7B"/>
    <w:rsid w:val="009B7E27"/>
    <w:rsid w:val="009C095B"/>
    <w:rsid w:val="009C0B44"/>
    <w:rsid w:val="009C4665"/>
    <w:rsid w:val="009C7D16"/>
    <w:rsid w:val="009D1D8F"/>
    <w:rsid w:val="009D30DF"/>
    <w:rsid w:val="009D5CB6"/>
    <w:rsid w:val="009D699D"/>
    <w:rsid w:val="009E35AD"/>
    <w:rsid w:val="009E6B3D"/>
    <w:rsid w:val="009E73BE"/>
    <w:rsid w:val="009F14E3"/>
    <w:rsid w:val="009F40C1"/>
    <w:rsid w:val="009F5BC8"/>
    <w:rsid w:val="009F5F9B"/>
    <w:rsid w:val="009F6AF4"/>
    <w:rsid w:val="00A00905"/>
    <w:rsid w:val="00A00A49"/>
    <w:rsid w:val="00A0523B"/>
    <w:rsid w:val="00A05780"/>
    <w:rsid w:val="00A059BD"/>
    <w:rsid w:val="00A06A3F"/>
    <w:rsid w:val="00A07E28"/>
    <w:rsid w:val="00A11C43"/>
    <w:rsid w:val="00A138B6"/>
    <w:rsid w:val="00A14E30"/>
    <w:rsid w:val="00A15B8B"/>
    <w:rsid w:val="00A2204E"/>
    <w:rsid w:val="00A2264B"/>
    <w:rsid w:val="00A27A97"/>
    <w:rsid w:val="00A30E75"/>
    <w:rsid w:val="00A34814"/>
    <w:rsid w:val="00A35243"/>
    <w:rsid w:val="00A36866"/>
    <w:rsid w:val="00A42C2C"/>
    <w:rsid w:val="00A52265"/>
    <w:rsid w:val="00A55BD0"/>
    <w:rsid w:val="00A57FB9"/>
    <w:rsid w:val="00A6048B"/>
    <w:rsid w:val="00A613E8"/>
    <w:rsid w:val="00A62246"/>
    <w:rsid w:val="00A640C6"/>
    <w:rsid w:val="00A64947"/>
    <w:rsid w:val="00A6508C"/>
    <w:rsid w:val="00A673D3"/>
    <w:rsid w:val="00A67A52"/>
    <w:rsid w:val="00A70BD4"/>
    <w:rsid w:val="00A728E3"/>
    <w:rsid w:val="00A74252"/>
    <w:rsid w:val="00A75EA2"/>
    <w:rsid w:val="00A846E7"/>
    <w:rsid w:val="00A862A4"/>
    <w:rsid w:val="00A86847"/>
    <w:rsid w:val="00A86D9F"/>
    <w:rsid w:val="00A920BC"/>
    <w:rsid w:val="00AA104E"/>
    <w:rsid w:val="00AA110A"/>
    <w:rsid w:val="00AA141C"/>
    <w:rsid w:val="00AA1FDE"/>
    <w:rsid w:val="00AA71A9"/>
    <w:rsid w:val="00AB3DA1"/>
    <w:rsid w:val="00AB7F60"/>
    <w:rsid w:val="00AC265C"/>
    <w:rsid w:val="00AC2B7E"/>
    <w:rsid w:val="00AC35DC"/>
    <w:rsid w:val="00AC4553"/>
    <w:rsid w:val="00AC51C0"/>
    <w:rsid w:val="00AC627E"/>
    <w:rsid w:val="00AD18CC"/>
    <w:rsid w:val="00AD5C75"/>
    <w:rsid w:val="00AE1062"/>
    <w:rsid w:val="00AE12C7"/>
    <w:rsid w:val="00AE51BA"/>
    <w:rsid w:val="00AE5564"/>
    <w:rsid w:val="00AE5C17"/>
    <w:rsid w:val="00AF0FB6"/>
    <w:rsid w:val="00AF1C80"/>
    <w:rsid w:val="00B05E0F"/>
    <w:rsid w:val="00B115C7"/>
    <w:rsid w:val="00B12953"/>
    <w:rsid w:val="00B26AB8"/>
    <w:rsid w:val="00B2709B"/>
    <w:rsid w:val="00B319F7"/>
    <w:rsid w:val="00B33AF1"/>
    <w:rsid w:val="00B3462A"/>
    <w:rsid w:val="00B348E0"/>
    <w:rsid w:val="00B4150C"/>
    <w:rsid w:val="00B41FD1"/>
    <w:rsid w:val="00B502EF"/>
    <w:rsid w:val="00B52A46"/>
    <w:rsid w:val="00B56388"/>
    <w:rsid w:val="00B568B1"/>
    <w:rsid w:val="00B61ECE"/>
    <w:rsid w:val="00B8120F"/>
    <w:rsid w:val="00B94828"/>
    <w:rsid w:val="00B94BB6"/>
    <w:rsid w:val="00B94C38"/>
    <w:rsid w:val="00BB081E"/>
    <w:rsid w:val="00BB1535"/>
    <w:rsid w:val="00BB4807"/>
    <w:rsid w:val="00BB6B0E"/>
    <w:rsid w:val="00BC0E73"/>
    <w:rsid w:val="00BC366D"/>
    <w:rsid w:val="00BC493D"/>
    <w:rsid w:val="00BD1CEF"/>
    <w:rsid w:val="00BD258E"/>
    <w:rsid w:val="00BD307A"/>
    <w:rsid w:val="00BD39EE"/>
    <w:rsid w:val="00BD5428"/>
    <w:rsid w:val="00BE0B9E"/>
    <w:rsid w:val="00BE1F81"/>
    <w:rsid w:val="00BF395B"/>
    <w:rsid w:val="00BF40A6"/>
    <w:rsid w:val="00BF4564"/>
    <w:rsid w:val="00BF4673"/>
    <w:rsid w:val="00BF699E"/>
    <w:rsid w:val="00C00472"/>
    <w:rsid w:val="00C00A42"/>
    <w:rsid w:val="00C00E6E"/>
    <w:rsid w:val="00C0275F"/>
    <w:rsid w:val="00C06277"/>
    <w:rsid w:val="00C112AF"/>
    <w:rsid w:val="00C130C4"/>
    <w:rsid w:val="00C20648"/>
    <w:rsid w:val="00C2754E"/>
    <w:rsid w:val="00C337EC"/>
    <w:rsid w:val="00C35884"/>
    <w:rsid w:val="00C503D6"/>
    <w:rsid w:val="00C50B06"/>
    <w:rsid w:val="00C50B9D"/>
    <w:rsid w:val="00C51F02"/>
    <w:rsid w:val="00C5274C"/>
    <w:rsid w:val="00C6464C"/>
    <w:rsid w:val="00C65EFA"/>
    <w:rsid w:val="00C66E5F"/>
    <w:rsid w:val="00C677AC"/>
    <w:rsid w:val="00C67B39"/>
    <w:rsid w:val="00C72224"/>
    <w:rsid w:val="00C741A0"/>
    <w:rsid w:val="00C7471E"/>
    <w:rsid w:val="00C75E94"/>
    <w:rsid w:val="00C7662E"/>
    <w:rsid w:val="00C771CF"/>
    <w:rsid w:val="00C7749E"/>
    <w:rsid w:val="00C80E2F"/>
    <w:rsid w:val="00C80EE9"/>
    <w:rsid w:val="00C835A7"/>
    <w:rsid w:val="00C8726A"/>
    <w:rsid w:val="00C906C5"/>
    <w:rsid w:val="00C90E0B"/>
    <w:rsid w:val="00C91175"/>
    <w:rsid w:val="00C943AE"/>
    <w:rsid w:val="00C95A85"/>
    <w:rsid w:val="00C9601B"/>
    <w:rsid w:val="00CA03CD"/>
    <w:rsid w:val="00CA1893"/>
    <w:rsid w:val="00CA3264"/>
    <w:rsid w:val="00CA3609"/>
    <w:rsid w:val="00CA6B8E"/>
    <w:rsid w:val="00CB18E1"/>
    <w:rsid w:val="00CB6A02"/>
    <w:rsid w:val="00CC243D"/>
    <w:rsid w:val="00CC35C4"/>
    <w:rsid w:val="00CC412D"/>
    <w:rsid w:val="00CC4F5C"/>
    <w:rsid w:val="00CC63F2"/>
    <w:rsid w:val="00CC7341"/>
    <w:rsid w:val="00CD0790"/>
    <w:rsid w:val="00CD268B"/>
    <w:rsid w:val="00CD2F6C"/>
    <w:rsid w:val="00CD5EAC"/>
    <w:rsid w:val="00CD6768"/>
    <w:rsid w:val="00CE0253"/>
    <w:rsid w:val="00CE3018"/>
    <w:rsid w:val="00CE46F8"/>
    <w:rsid w:val="00CE4B3E"/>
    <w:rsid w:val="00CE5019"/>
    <w:rsid w:val="00CE5649"/>
    <w:rsid w:val="00CF04D1"/>
    <w:rsid w:val="00CF0887"/>
    <w:rsid w:val="00CF1B14"/>
    <w:rsid w:val="00CF1C61"/>
    <w:rsid w:val="00CF2684"/>
    <w:rsid w:val="00CF37A7"/>
    <w:rsid w:val="00CF5302"/>
    <w:rsid w:val="00CF6A1A"/>
    <w:rsid w:val="00CF732D"/>
    <w:rsid w:val="00CF7653"/>
    <w:rsid w:val="00D01865"/>
    <w:rsid w:val="00D04F76"/>
    <w:rsid w:val="00D114D6"/>
    <w:rsid w:val="00D1332A"/>
    <w:rsid w:val="00D155E4"/>
    <w:rsid w:val="00D170FF"/>
    <w:rsid w:val="00D1744C"/>
    <w:rsid w:val="00D20C7E"/>
    <w:rsid w:val="00D2514F"/>
    <w:rsid w:val="00D25DDC"/>
    <w:rsid w:val="00D31416"/>
    <w:rsid w:val="00D31AE9"/>
    <w:rsid w:val="00D33E82"/>
    <w:rsid w:val="00D35DE7"/>
    <w:rsid w:val="00D35E7E"/>
    <w:rsid w:val="00D364C6"/>
    <w:rsid w:val="00D436D4"/>
    <w:rsid w:val="00D5651A"/>
    <w:rsid w:val="00D57EA1"/>
    <w:rsid w:val="00D67D2D"/>
    <w:rsid w:val="00D74A38"/>
    <w:rsid w:val="00D76F4E"/>
    <w:rsid w:val="00D94552"/>
    <w:rsid w:val="00D970D4"/>
    <w:rsid w:val="00DA1A2D"/>
    <w:rsid w:val="00DA6975"/>
    <w:rsid w:val="00DB093E"/>
    <w:rsid w:val="00DB1577"/>
    <w:rsid w:val="00DB37C8"/>
    <w:rsid w:val="00DB7F92"/>
    <w:rsid w:val="00DC07B4"/>
    <w:rsid w:val="00DD3813"/>
    <w:rsid w:val="00DD4558"/>
    <w:rsid w:val="00DD478B"/>
    <w:rsid w:val="00DD5AD5"/>
    <w:rsid w:val="00DE27B8"/>
    <w:rsid w:val="00DE3511"/>
    <w:rsid w:val="00DE551C"/>
    <w:rsid w:val="00DE799A"/>
    <w:rsid w:val="00DF4495"/>
    <w:rsid w:val="00DF48BF"/>
    <w:rsid w:val="00DF5E71"/>
    <w:rsid w:val="00DF7A9F"/>
    <w:rsid w:val="00DF7F74"/>
    <w:rsid w:val="00E00C44"/>
    <w:rsid w:val="00E0392E"/>
    <w:rsid w:val="00E044E8"/>
    <w:rsid w:val="00E07771"/>
    <w:rsid w:val="00E10791"/>
    <w:rsid w:val="00E10CC2"/>
    <w:rsid w:val="00E10D07"/>
    <w:rsid w:val="00E13A70"/>
    <w:rsid w:val="00E15CF6"/>
    <w:rsid w:val="00E1685C"/>
    <w:rsid w:val="00E207C5"/>
    <w:rsid w:val="00E2361B"/>
    <w:rsid w:val="00E24689"/>
    <w:rsid w:val="00E24754"/>
    <w:rsid w:val="00E24E22"/>
    <w:rsid w:val="00E26694"/>
    <w:rsid w:val="00E33EDB"/>
    <w:rsid w:val="00E3491B"/>
    <w:rsid w:val="00E3499B"/>
    <w:rsid w:val="00E41378"/>
    <w:rsid w:val="00E467AA"/>
    <w:rsid w:val="00E56C6E"/>
    <w:rsid w:val="00E57D45"/>
    <w:rsid w:val="00E65BF6"/>
    <w:rsid w:val="00E67A72"/>
    <w:rsid w:val="00E70751"/>
    <w:rsid w:val="00E72CC4"/>
    <w:rsid w:val="00E73B50"/>
    <w:rsid w:val="00E73F10"/>
    <w:rsid w:val="00E74EF8"/>
    <w:rsid w:val="00E75589"/>
    <w:rsid w:val="00E767D0"/>
    <w:rsid w:val="00E768BD"/>
    <w:rsid w:val="00E76F32"/>
    <w:rsid w:val="00E849C8"/>
    <w:rsid w:val="00E874F1"/>
    <w:rsid w:val="00E87FEE"/>
    <w:rsid w:val="00E907CE"/>
    <w:rsid w:val="00E9213B"/>
    <w:rsid w:val="00E94B6C"/>
    <w:rsid w:val="00E95196"/>
    <w:rsid w:val="00E96831"/>
    <w:rsid w:val="00EA1755"/>
    <w:rsid w:val="00EA3D2D"/>
    <w:rsid w:val="00EA3F9B"/>
    <w:rsid w:val="00EA5502"/>
    <w:rsid w:val="00EA7E13"/>
    <w:rsid w:val="00EB560C"/>
    <w:rsid w:val="00EB7487"/>
    <w:rsid w:val="00EC0370"/>
    <w:rsid w:val="00EC2F2D"/>
    <w:rsid w:val="00EC3C65"/>
    <w:rsid w:val="00EC59BB"/>
    <w:rsid w:val="00ED07F4"/>
    <w:rsid w:val="00ED0F4B"/>
    <w:rsid w:val="00ED31A9"/>
    <w:rsid w:val="00EE1027"/>
    <w:rsid w:val="00EE2005"/>
    <w:rsid w:val="00EE28BA"/>
    <w:rsid w:val="00EF4AB0"/>
    <w:rsid w:val="00EF530F"/>
    <w:rsid w:val="00EF6DE9"/>
    <w:rsid w:val="00EF7772"/>
    <w:rsid w:val="00F04402"/>
    <w:rsid w:val="00F11B7A"/>
    <w:rsid w:val="00F1578A"/>
    <w:rsid w:val="00F208E6"/>
    <w:rsid w:val="00F2346C"/>
    <w:rsid w:val="00F23D67"/>
    <w:rsid w:val="00F251D4"/>
    <w:rsid w:val="00F34C11"/>
    <w:rsid w:val="00F360C1"/>
    <w:rsid w:val="00F406F7"/>
    <w:rsid w:val="00F40B1C"/>
    <w:rsid w:val="00F412C5"/>
    <w:rsid w:val="00F45C54"/>
    <w:rsid w:val="00F46FCD"/>
    <w:rsid w:val="00F51B73"/>
    <w:rsid w:val="00F57016"/>
    <w:rsid w:val="00F66313"/>
    <w:rsid w:val="00F667B0"/>
    <w:rsid w:val="00F70FDD"/>
    <w:rsid w:val="00F745F8"/>
    <w:rsid w:val="00F748DF"/>
    <w:rsid w:val="00F75B41"/>
    <w:rsid w:val="00F858D9"/>
    <w:rsid w:val="00F90CAC"/>
    <w:rsid w:val="00F91801"/>
    <w:rsid w:val="00F92A25"/>
    <w:rsid w:val="00F93C70"/>
    <w:rsid w:val="00F93D6A"/>
    <w:rsid w:val="00F940A1"/>
    <w:rsid w:val="00FA41E4"/>
    <w:rsid w:val="00FA4ADE"/>
    <w:rsid w:val="00FB16B9"/>
    <w:rsid w:val="00FB20B3"/>
    <w:rsid w:val="00FB779B"/>
    <w:rsid w:val="00FC17B7"/>
    <w:rsid w:val="00FC38DA"/>
    <w:rsid w:val="00FC53AB"/>
    <w:rsid w:val="00FC64F8"/>
    <w:rsid w:val="00FE07DD"/>
    <w:rsid w:val="00FE1E01"/>
    <w:rsid w:val="00FE23C3"/>
    <w:rsid w:val="00FE3A31"/>
    <w:rsid w:val="00FE4A98"/>
    <w:rsid w:val="00FF0A08"/>
    <w:rsid w:val="031A7217"/>
    <w:rsid w:val="0375343C"/>
    <w:rsid w:val="05C40A9E"/>
    <w:rsid w:val="0683788A"/>
    <w:rsid w:val="09AB22A2"/>
    <w:rsid w:val="09C73D6D"/>
    <w:rsid w:val="0C3D5DD5"/>
    <w:rsid w:val="0E2616DC"/>
    <w:rsid w:val="0E5C0B7C"/>
    <w:rsid w:val="0FA64043"/>
    <w:rsid w:val="135067F4"/>
    <w:rsid w:val="13EC3AC7"/>
    <w:rsid w:val="15FC4669"/>
    <w:rsid w:val="1C940D4F"/>
    <w:rsid w:val="1D820FA9"/>
    <w:rsid w:val="212A4045"/>
    <w:rsid w:val="221D6C29"/>
    <w:rsid w:val="22594DF1"/>
    <w:rsid w:val="22B340EA"/>
    <w:rsid w:val="27EB05C2"/>
    <w:rsid w:val="2A8D1693"/>
    <w:rsid w:val="2BCE7AB4"/>
    <w:rsid w:val="2C752B50"/>
    <w:rsid w:val="2FA848C3"/>
    <w:rsid w:val="30716DC7"/>
    <w:rsid w:val="316E5A55"/>
    <w:rsid w:val="32A21303"/>
    <w:rsid w:val="34BD2832"/>
    <w:rsid w:val="35083616"/>
    <w:rsid w:val="35951AC0"/>
    <w:rsid w:val="35EB5C31"/>
    <w:rsid w:val="3F186B43"/>
    <w:rsid w:val="41884094"/>
    <w:rsid w:val="42DC2F05"/>
    <w:rsid w:val="480D3974"/>
    <w:rsid w:val="4A654BA7"/>
    <w:rsid w:val="55FE4F49"/>
    <w:rsid w:val="5671116D"/>
    <w:rsid w:val="58825FE5"/>
    <w:rsid w:val="5B577DF1"/>
    <w:rsid w:val="5C720CC9"/>
    <w:rsid w:val="5DEA1271"/>
    <w:rsid w:val="5E246F8E"/>
    <w:rsid w:val="6163341D"/>
    <w:rsid w:val="62F9016F"/>
    <w:rsid w:val="69B218B6"/>
    <w:rsid w:val="69BC580E"/>
    <w:rsid w:val="6B7D7D1F"/>
    <w:rsid w:val="713D3880"/>
    <w:rsid w:val="730D6E5F"/>
    <w:rsid w:val="737D6EFD"/>
    <w:rsid w:val="768553F0"/>
    <w:rsid w:val="77837EB7"/>
    <w:rsid w:val="78E833A5"/>
    <w:rsid w:val="7CB0772F"/>
    <w:rsid w:val="7F930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Narrow" w:hAnsi="Arial Narrow" w:eastAsia="宋体" w:cs="Times New Roman"/>
      <w:kern w:val="2"/>
      <w:sz w:val="24"/>
      <w:szCs w:val="24"/>
      <w:lang w:val="en-US" w:eastAsia="zh-CN" w:bidi="ar-SA"/>
    </w:rPr>
  </w:style>
  <w:style w:type="paragraph" w:styleId="2">
    <w:name w:val="heading 1"/>
    <w:basedOn w:val="1"/>
    <w:next w:val="1"/>
    <w:qFormat/>
    <w:uiPriority w:val="0"/>
    <w:pPr>
      <w:keepNext/>
      <w:keepLines/>
      <w:tabs>
        <w:tab w:val="left" w:pos="480"/>
      </w:tabs>
      <w:spacing w:before="156" w:beforeLines="50" w:after="156" w:afterLines="50"/>
      <w:outlineLvl w:val="0"/>
    </w:pPr>
    <w:rPr>
      <w:rFonts w:eastAsia="黑体"/>
      <w:bCs/>
      <w:kern w:val="44"/>
      <w:sz w:val="32"/>
      <w:szCs w:val="44"/>
    </w:rPr>
  </w:style>
  <w:style w:type="paragraph" w:styleId="3">
    <w:name w:val="heading 2"/>
    <w:basedOn w:val="1"/>
    <w:next w:val="1"/>
    <w:link w:val="61"/>
    <w:qFormat/>
    <w:uiPriority w:val="0"/>
    <w:pPr>
      <w:keepNext/>
      <w:keepLines/>
      <w:tabs>
        <w:tab w:val="left" w:pos="480"/>
      </w:tabs>
      <w:spacing w:before="156" w:beforeLines="50" w:after="156" w:afterLines="50"/>
      <w:outlineLvl w:val="1"/>
    </w:pPr>
    <w:rPr>
      <w:rFonts w:eastAsia="黑体"/>
      <w:bCs/>
      <w:szCs w:val="32"/>
    </w:rPr>
  </w:style>
  <w:style w:type="paragraph" w:styleId="4">
    <w:name w:val="heading 3"/>
    <w:basedOn w:val="1"/>
    <w:next w:val="1"/>
    <w:qFormat/>
    <w:uiPriority w:val="0"/>
    <w:pPr>
      <w:keepNext/>
      <w:keepLines/>
      <w:tabs>
        <w:tab w:val="left" w:pos="480"/>
      </w:tabs>
      <w:spacing w:before="156" w:beforeLines="50" w:after="156" w:afterLines="50"/>
      <w:outlineLvl w:val="2"/>
    </w:pPr>
    <w:rPr>
      <w:rFonts w:eastAsia="黑体"/>
      <w:bCs/>
      <w:szCs w:val="32"/>
    </w:rPr>
  </w:style>
  <w:style w:type="paragraph" w:styleId="5">
    <w:name w:val="heading 4"/>
    <w:basedOn w:val="1"/>
    <w:next w:val="1"/>
    <w:qFormat/>
    <w:uiPriority w:val="0"/>
    <w:pPr>
      <w:keepNext/>
      <w:keepLines/>
      <w:tabs>
        <w:tab w:val="left" w:pos="480"/>
      </w:tabs>
      <w:outlineLvl w:val="3"/>
    </w:pPr>
    <w:rPr>
      <w:bCs/>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rFonts w:ascii="Times New Roman" w:hAnsi="Times New Roman"/>
    </w:rPr>
  </w:style>
  <w:style w:type="paragraph" w:styleId="7">
    <w:name w:val="Normal Indent"/>
    <w:basedOn w:val="1"/>
    <w:qFormat/>
    <w:uiPriority w:val="0"/>
    <w:pPr>
      <w:snapToGrid w:val="0"/>
      <w:spacing w:line="300" w:lineRule="auto"/>
      <w:ind w:firstLine="420"/>
    </w:pPr>
    <w:rPr>
      <w:rFonts w:ascii="Times New Roman" w:hAnsi="Times New Roman"/>
      <w:szCs w:val="20"/>
    </w:rPr>
  </w:style>
  <w:style w:type="paragraph" w:styleId="8">
    <w:name w:val="Document Map"/>
    <w:basedOn w:val="1"/>
    <w:qFormat/>
    <w:uiPriority w:val="0"/>
    <w:pPr>
      <w:shd w:val="clear" w:color="auto" w:fill="000080"/>
    </w:pPr>
  </w:style>
  <w:style w:type="paragraph" w:styleId="9">
    <w:name w:val="annotation text"/>
    <w:basedOn w:val="1"/>
    <w:qFormat/>
    <w:uiPriority w:val="0"/>
    <w:pPr>
      <w:jc w:val="left"/>
    </w:pPr>
  </w:style>
  <w:style w:type="paragraph" w:styleId="10">
    <w:name w:val="Body Text"/>
    <w:basedOn w:val="1"/>
    <w:link w:val="66"/>
    <w:qFormat/>
    <w:uiPriority w:val="0"/>
    <w:pPr>
      <w:widowControl/>
      <w:ind w:left="1701"/>
    </w:pPr>
    <w:rPr>
      <w:rFonts w:cs="Arial"/>
      <w:kern w:val="24"/>
      <w:lang w:eastAsia="fr-FR"/>
    </w:rPr>
  </w:style>
  <w:style w:type="paragraph" w:styleId="11">
    <w:name w:val="Body Text Indent"/>
    <w:basedOn w:val="1"/>
    <w:qFormat/>
    <w:uiPriority w:val="0"/>
    <w:pPr>
      <w:widowControl/>
      <w:tabs>
        <w:tab w:val="left" w:pos="1701"/>
      </w:tabs>
      <w:spacing w:before="120"/>
      <w:ind w:left="1701"/>
    </w:pPr>
    <w:rPr>
      <w:rFonts w:cs="Arial"/>
      <w:kern w:val="0"/>
      <w:lang w:eastAsia="fr-FR"/>
    </w:rPr>
  </w:style>
  <w:style w:type="paragraph" w:styleId="12">
    <w:name w:val="toc 5"/>
    <w:basedOn w:val="1"/>
    <w:next w:val="1"/>
    <w:qFormat/>
    <w:uiPriority w:val="0"/>
    <w:pPr>
      <w:ind w:left="960"/>
      <w:jc w:val="left"/>
    </w:pPr>
    <w:rPr>
      <w:rFonts w:ascii="Times New Roman" w:hAnsi="Times New Roman"/>
    </w:rPr>
  </w:style>
  <w:style w:type="paragraph" w:styleId="13">
    <w:name w:val="toc 3"/>
    <w:basedOn w:val="1"/>
    <w:next w:val="1"/>
    <w:qFormat/>
    <w:uiPriority w:val="0"/>
    <w:pPr>
      <w:tabs>
        <w:tab w:val="left" w:pos="1440"/>
        <w:tab w:val="right" w:leader="middleDot" w:pos="8777"/>
      </w:tabs>
      <w:ind w:left="960"/>
      <w:jc w:val="left"/>
    </w:pPr>
    <w:rPr>
      <w:bCs/>
    </w:rPr>
  </w:style>
  <w:style w:type="paragraph" w:styleId="14">
    <w:name w:val="Plain Text"/>
    <w:basedOn w:val="1"/>
    <w:qFormat/>
    <w:uiPriority w:val="0"/>
    <w:rPr>
      <w:rFonts w:ascii="宋体" w:hAnsi="Courier New" w:cs="Courier New"/>
      <w:sz w:val="21"/>
      <w:szCs w:val="21"/>
    </w:rPr>
  </w:style>
  <w:style w:type="paragraph" w:styleId="15">
    <w:name w:val="toc 8"/>
    <w:basedOn w:val="1"/>
    <w:next w:val="1"/>
    <w:qFormat/>
    <w:uiPriority w:val="0"/>
    <w:pPr>
      <w:ind w:left="1680"/>
      <w:jc w:val="left"/>
    </w:pPr>
    <w:rPr>
      <w:rFonts w:ascii="Times New Roman" w:hAnsi="Times New Roman"/>
    </w:rPr>
  </w:style>
  <w:style w:type="paragraph" w:styleId="16">
    <w:name w:val="Date"/>
    <w:basedOn w:val="1"/>
    <w:next w:val="1"/>
    <w:qFormat/>
    <w:uiPriority w:val="0"/>
    <w:pPr>
      <w:ind w:left="100" w:leftChars="2500" w:firstLine="200" w:firstLineChars="200"/>
    </w:pPr>
    <w:rPr>
      <w:rFonts w:cs="Arial"/>
      <w:kern w:val="0"/>
      <w:sz w:val="30"/>
      <w:szCs w:val="30"/>
    </w:rPr>
  </w:style>
  <w:style w:type="paragraph" w:styleId="17">
    <w:name w:val="Body Text Indent 2"/>
    <w:basedOn w:val="1"/>
    <w:qFormat/>
    <w:uiPriority w:val="0"/>
    <w:pPr>
      <w:tabs>
        <w:tab w:val="left" w:pos="4612"/>
      </w:tabs>
      <w:ind w:firstLine="480" w:firstLineChars="200"/>
    </w:pPr>
  </w:style>
  <w:style w:type="paragraph" w:styleId="18">
    <w:name w:val="Balloon Text"/>
    <w:basedOn w:val="1"/>
    <w:qFormat/>
    <w:uiPriority w:val="0"/>
    <w:rPr>
      <w:sz w:val="18"/>
      <w:szCs w:val="18"/>
    </w:r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left" w:pos="480"/>
        <w:tab w:val="right" w:leader="middleDot" w:pos="8777"/>
      </w:tabs>
      <w:jc w:val="center"/>
    </w:pPr>
    <w:rPr>
      <w:szCs w:val="32"/>
    </w:rPr>
  </w:style>
  <w:style w:type="paragraph" w:styleId="22">
    <w:name w:val="toc 4"/>
    <w:basedOn w:val="1"/>
    <w:next w:val="1"/>
    <w:qFormat/>
    <w:uiPriority w:val="0"/>
    <w:pPr>
      <w:ind w:left="720"/>
      <w:jc w:val="left"/>
    </w:pPr>
    <w:rPr>
      <w:rFonts w:ascii="Times New Roman" w:hAnsi="Times New Roman"/>
    </w:rPr>
  </w:style>
  <w:style w:type="paragraph" w:styleId="23">
    <w:name w:val="toc 6"/>
    <w:basedOn w:val="1"/>
    <w:next w:val="1"/>
    <w:qFormat/>
    <w:uiPriority w:val="0"/>
    <w:pPr>
      <w:ind w:left="1200"/>
      <w:jc w:val="left"/>
    </w:pPr>
    <w:rPr>
      <w:rFonts w:ascii="Times New Roman" w:hAnsi="Times New Roman"/>
    </w:rPr>
  </w:style>
  <w:style w:type="paragraph" w:styleId="24">
    <w:name w:val="Body Text Indent 3"/>
    <w:basedOn w:val="1"/>
    <w:qFormat/>
    <w:uiPriority w:val="0"/>
    <w:pPr>
      <w:tabs>
        <w:tab w:val="left" w:pos="76"/>
        <w:tab w:val="left" w:pos="8902"/>
        <w:tab w:val="left" w:pos="8976"/>
      </w:tabs>
      <w:ind w:firstLine="420" w:firstLineChars="200"/>
    </w:pPr>
    <w:rPr>
      <w:sz w:val="21"/>
    </w:rPr>
  </w:style>
  <w:style w:type="paragraph" w:styleId="25">
    <w:name w:val="toc 2"/>
    <w:basedOn w:val="1"/>
    <w:next w:val="1"/>
    <w:qFormat/>
    <w:uiPriority w:val="39"/>
    <w:pPr>
      <w:tabs>
        <w:tab w:val="left" w:pos="960"/>
        <w:tab w:val="right" w:leader="middleDot" w:pos="8777"/>
      </w:tabs>
      <w:ind w:left="480" w:leftChars="200"/>
      <w:jc w:val="left"/>
    </w:pPr>
  </w:style>
  <w:style w:type="paragraph" w:styleId="26">
    <w:name w:val="toc 9"/>
    <w:basedOn w:val="1"/>
    <w:next w:val="1"/>
    <w:qFormat/>
    <w:uiPriority w:val="0"/>
    <w:pPr>
      <w:ind w:left="1920"/>
      <w:jc w:val="left"/>
    </w:pPr>
    <w:rPr>
      <w:rFonts w:ascii="Times New Roman" w:hAnsi="Times New Roman"/>
    </w:rPr>
  </w:style>
  <w:style w:type="paragraph" w:styleId="27">
    <w:name w:val="Normal (Web)"/>
    <w:basedOn w:val="1"/>
    <w:qFormat/>
    <w:uiPriority w:val="99"/>
    <w:pPr>
      <w:widowControl/>
      <w:spacing w:before="100" w:beforeAutospacing="1" w:after="100" w:afterAutospacing="1"/>
      <w:jc w:val="left"/>
    </w:pPr>
    <w:rPr>
      <w:rFonts w:ascii="宋体" w:hAnsi="宋体"/>
      <w:kern w:val="0"/>
    </w:rPr>
  </w:style>
  <w:style w:type="paragraph" w:styleId="28">
    <w:name w:val="Title"/>
    <w:basedOn w:val="1"/>
    <w:qFormat/>
    <w:uiPriority w:val="0"/>
    <w:pPr>
      <w:spacing w:before="156" w:beforeLines="50" w:after="156" w:afterLines="50"/>
      <w:jc w:val="center"/>
      <w:outlineLvl w:val="0"/>
    </w:pPr>
    <w:rPr>
      <w:rFonts w:eastAsia="黑体" w:cs="Arial"/>
      <w:bCs/>
      <w:sz w:val="44"/>
      <w:szCs w:val="32"/>
    </w:rPr>
  </w:style>
  <w:style w:type="paragraph" w:styleId="29">
    <w:name w:val="annotation subject"/>
    <w:basedOn w:val="9"/>
    <w:next w:val="9"/>
    <w:qFormat/>
    <w:uiPriority w:val="0"/>
    <w:rPr>
      <w:b/>
      <w:bCs/>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qFormat/>
    <w:uiPriority w:val="0"/>
    <w:rPr>
      <w:rFonts w:ascii="Arial Narrow" w:hAnsi="Arial Narrow" w:eastAsia="宋体"/>
      <w:sz w:val="21"/>
    </w:rPr>
  </w:style>
  <w:style w:type="character" w:styleId="34">
    <w:name w:val="FollowedHyperlink"/>
    <w:qFormat/>
    <w:uiPriority w:val="0"/>
    <w:rPr>
      <w:color w:val="800080"/>
      <w:u w:val="single"/>
    </w:rPr>
  </w:style>
  <w:style w:type="character" w:styleId="35">
    <w:name w:val="Hyperlink"/>
    <w:qFormat/>
    <w:uiPriority w:val="99"/>
    <w:rPr>
      <w:color w:val="0000FF"/>
      <w:u w:val="single"/>
    </w:rPr>
  </w:style>
  <w:style w:type="character" w:styleId="36">
    <w:name w:val="annotation reference"/>
    <w:qFormat/>
    <w:uiPriority w:val="0"/>
    <w:rPr>
      <w:sz w:val="21"/>
      <w:szCs w:val="21"/>
    </w:rPr>
  </w:style>
  <w:style w:type="paragraph" w:customStyle="1" w:styleId="3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38">
    <w:name w:val="xl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cs="宋体"/>
      <w:color w:val="000000"/>
      <w:kern w:val="0"/>
    </w:rPr>
  </w:style>
  <w:style w:type="paragraph" w:customStyle="1" w:styleId="39">
    <w:name w:val=".."/>
    <w:basedOn w:val="1"/>
    <w:next w:val="1"/>
    <w:qFormat/>
    <w:uiPriority w:val="0"/>
    <w:pPr>
      <w:autoSpaceDE w:val="0"/>
      <w:autoSpaceDN w:val="0"/>
      <w:adjustRightInd w:val="0"/>
      <w:jc w:val="left"/>
    </w:pPr>
    <w:rPr>
      <w:rFonts w:ascii=".." w:hAnsi="Times New Roman" w:eastAsia=".."/>
      <w:kern w:val="0"/>
    </w:rPr>
  </w:style>
  <w:style w:type="paragraph" w:customStyle="1" w:styleId="40">
    <w:name w:val="xl16"/>
    <w:basedOn w:val="1"/>
    <w:qFormat/>
    <w:uiPriority w:val="0"/>
    <w:pPr>
      <w:widowControl/>
      <w:pBdr>
        <w:top w:val="single" w:color="auto" w:sz="4" w:space="0"/>
        <w:left w:val="single" w:color="auto" w:sz="4" w:space="0"/>
        <w:bottom w:val="single" w:color="auto" w:sz="4" w:space="0"/>
        <w:right w:val="single" w:color="auto" w:sz="4" w:space="0"/>
      </w:pBdr>
      <w:shd w:val="clear" w:color="auto" w:fill="ECE9D8"/>
      <w:spacing w:before="100" w:beforeAutospacing="1" w:after="100" w:afterAutospacing="1"/>
      <w:jc w:val="center"/>
      <w:textAlignment w:val="center"/>
    </w:pPr>
    <w:rPr>
      <w:rFonts w:cs="宋体"/>
      <w:color w:val="000000"/>
      <w:kern w:val="0"/>
    </w:rPr>
  </w:style>
  <w:style w:type="paragraph" w:customStyle="1" w:styleId="41">
    <w:name w:val="xl25"/>
    <w:basedOn w:val="1"/>
    <w:qFormat/>
    <w:uiPriority w:val="0"/>
    <w:pPr>
      <w:widowControl/>
      <w:spacing w:before="100" w:beforeAutospacing="1" w:after="100" w:afterAutospacing="1"/>
      <w:jc w:val="center"/>
      <w:textAlignment w:val="center"/>
    </w:pPr>
    <w:rPr>
      <w:rFonts w:eastAsia="Arial Unicode MS" w:cs="Arial Unicode MS"/>
      <w:kern w:val="0"/>
    </w:rPr>
  </w:style>
  <w:style w:type="paragraph" w:customStyle="1" w:styleId="42">
    <w:name w:val="Char"/>
    <w:basedOn w:val="1"/>
    <w:qFormat/>
    <w:uiPriority w:val="0"/>
    <w:rPr>
      <w:rFonts w:ascii="Times New Roman" w:hAnsi="Times New Roman"/>
      <w:sz w:val="21"/>
    </w:rPr>
  </w:style>
  <w:style w:type="paragraph" w:customStyle="1" w:styleId="43">
    <w:name w:val="xl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cs="宋体"/>
      <w:color w:val="000000"/>
      <w:kern w:val="0"/>
    </w:rPr>
  </w:style>
  <w:style w:type="paragraph" w:customStyle="1" w:styleId="44">
    <w:name w:val="font5"/>
    <w:basedOn w:val="1"/>
    <w:qFormat/>
    <w:uiPriority w:val="0"/>
    <w:pPr>
      <w:widowControl/>
      <w:spacing w:before="100" w:beforeAutospacing="1" w:after="100" w:afterAutospacing="1"/>
      <w:jc w:val="left"/>
    </w:pPr>
    <w:rPr>
      <w:rFonts w:ascii="MS Sans Serif" w:hAnsi="MS Sans Serif" w:eastAsia="Arial Unicode MS" w:cs="Arial Unicode MS"/>
      <w:color w:val="000000"/>
      <w:kern w:val="0"/>
      <w:sz w:val="16"/>
      <w:szCs w:val="16"/>
    </w:rPr>
  </w:style>
  <w:style w:type="paragraph" w:customStyle="1" w:styleId="4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
    <w:name w:val="text"/>
    <w:basedOn w:val="1"/>
    <w:qFormat/>
    <w:uiPriority w:val="0"/>
    <w:pPr>
      <w:widowControl/>
      <w:spacing w:before="100" w:beforeAutospacing="1" w:after="100" w:afterAutospacing="1"/>
      <w:jc w:val="left"/>
    </w:pPr>
    <w:rPr>
      <w:rFonts w:ascii="宋体" w:hAnsi="宋体" w:cs="宋体"/>
      <w:kern w:val="0"/>
    </w:rPr>
  </w:style>
  <w:style w:type="paragraph" w:customStyle="1" w:styleId="47">
    <w:name w:val="xl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cs="宋体"/>
      <w:color w:val="000000"/>
      <w:kern w:val="0"/>
    </w:rPr>
  </w:style>
  <w:style w:type="paragraph" w:customStyle="1" w:styleId="48">
    <w:name w:val="xl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cs="宋体"/>
      <w:color w:val="000000"/>
      <w:kern w:val="0"/>
    </w:rPr>
  </w:style>
  <w:style w:type="paragraph" w:customStyle="1" w:styleId="49">
    <w:name w:val="Char Char Char Char"/>
    <w:basedOn w:val="1"/>
    <w:qFormat/>
    <w:uiPriority w:val="0"/>
  </w:style>
  <w:style w:type="paragraph" w:customStyle="1" w:styleId="50">
    <w:name w:val="xl1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ECE9D8"/>
      <w:spacing w:before="100" w:beforeAutospacing="1" w:after="100" w:afterAutospacing="1"/>
      <w:jc w:val="center"/>
    </w:pPr>
    <w:rPr>
      <w:rFonts w:hint="eastAsia" w:ascii="宋体" w:hAnsi="宋体" w:cs="Arial Unicode MS"/>
      <w:color w:val="000000"/>
      <w:kern w:val="0"/>
      <w:sz w:val="16"/>
      <w:szCs w:val="16"/>
    </w:rPr>
  </w:style>
  <w:style w:type="paragraph" w:customStyle="1" w:styleId="51">
    <w:name w:val="font7"/>
    <w:basedOn w:val="1"/>
    <w:qFormat/>
    <w:uiPriority w:val="0"/>
    <w:pPr>
      <w:widowControl/>
      <w:spacing w:before="100" w:beforeAutospacing="1" w:after="100" w:afterAutospacing="1"/>
      <w:jc w:val="left"/>
    </w:pPr>
    <w:rPr>
      <w:rFonts w:cs="宋体"/>
      <w:kern w:val="0"/>
      <w:sz w:val="20"/>
      <w:szCs w:val="20"/>
    </w:rPr>
  </w:style>
  <w:style w:type="paragraph" w:customStyle="1" w:styleId="52">
    <w:name w:val="......"/>
    <w:basedOn w:val="1"/>
    <w:next w:val="1"/>
    <w:qFormat/>
    <w:uiPriority w:val="0"/>
    <w:pPr>
      <w:autoSpaceDE w:val="0"/>
      <w:autoSpaceDN w:val="0"/>
      <w:adjustRightInd w:val="0"/>
      <w:jc w:val="left"/>
    </w:pPr>
    <w:rPr>
      <w:rFonts w:ascii=".." w:hAnsi="Times New Roman" w:eastAsia=".."/>
      <w:kern w:val="0"/>
    </w:rPr>
  </w:style>
  <w:style w:type="paragraph" w:customStyle="1" w:styleId="53">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56">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57">
    <w:name w:val="xl20"/>
    <w:basedOn w:val="1"/>
    <w:qFormat/>
    <w:uiPriority w:val="0"/>
    <w:pPr>
      <w:widowControl/>
      <w:shd w:val="clear" w:color="auto" w:fill="ECE9D8"/>
      <w:spacing w:before="100" w:beforeAutospacing="1" w:after="100" w:afterAutospacing="1"/>
      <w:jc w:val="center"/>
    </w:pPr>
    <w:rPr>
      <w:rFonts w:hint="eastAsia" w:ascii="宋体" w:hAnsi="宋体" w:cs="Arial Unicode MS"/>
      <w:color w:val="000000"/>
      <w:kern w:val="0"/>
      <w:sz w:val="16"/>
      <w:szCs w:val="16"/>
    </w:rPr>
  </w:style>
  <w:style w:type="paragraph" w:customStyle="1" w:styleId="5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59">
    <w:name w:val="xl19"/>
    <w:basedOn w:val="1"/>
    <w:qFormat/>
    <w:uiPriority w:val="0"/>
    <w:pPr>
      <w:widowControl/>
      <w:shd w:val="clear" w:color="auto" w:fill="ECE9D8"/>
      <w:spacing w:before="100" w:beforeAutospacing="1" w:after="100" w:afterAutospacing="1"/>
      <w:jc w:val="center"/>
    </w:pPr>
    <w:rPr>
      <w:rFonts w:ascii="MS Sans Serif" w:hAnsi="MS Sans Serif" w:eastAsia="Arial Unicode MS" w:cs="Arial Unicode MS"/>
      <w:color w:val="000000"/>
      <w:kern w:val="0"/>
      <w:sz w:val="16"/>
      <w:szCs w:val="16"/>
    </w:rPr>
  </w:style>
  <w:style w:type="paragraph" w:customStyle="1" w:styleId="60">
    <w:name w:val="TxBr_t1"/>
    <w:basedOn w:val="1"/>
    <w:qFormat/>
    <w:uiPriority w:val="0"/>
    <w:pPr>
      <w:spacing w:line="515" w:lineRule="atLeast"/>
      <w:jc w:val="left"/>
    </w:pPr>
    <w:rPr>
      <w:rFonts w:ascii="Times New Roman" w:hAnsi="Times New Roman"/>
      <w:snapToGrid w:val="0"/>
      <w:kern w:val="0"/>
      <w:szCs w:val="20"/>
      <w:lang w:val="en-GB" w:eastAsia="en-US"/>
    </w:rPr>
  </w:style>
  <w:style w:type="character" w:customStyle="1" w:styleId="61">
    <w:name w:val="标题 2 字符"/>
    <w:link w:val="3"/>
    <w:qFormat/>
    <w:uiPriority w:val="0"/>
    <w:rPr>
      <w:rFonts w:ascii="Arial Narrow" w:hAnsi="Arial Narrow" w:eastAsia="黑体"/>
      <w:bCs/>
      <w:kern w:val="2"/>
      <w:sz w:val="24"/>
      <w:szCs w:val="32"/>
    </w:rPr>
  </w:style>
  <w:style w:type="paragraph" w:customStyle="1" w:styleId="62">
    <w:name w:val="Char Char"/>
    <w:basedOn w:val="1"/>
    <w:qFormat/>
    <w:uiPriority w:val="0"/>
    <w:rPr>
      <w:rFonts w:ascii="Times New Roman" w:hAnsi="Times New Roman"/>
      <w:sz w:val="21"/>
      <w:szCs w:val="21"/>
    </w:rPr>
  </w:style>
  <w:style w:type="paragraph" w:customStyle="1" w:styleId="63">
    <w:name w:val="Char Char Char Char1"/>
    <w:basedOn w:val="1"/>
    <w:qFormat/>
    <w:uiPriority w:val="0"/>
    <w:rPr>
      <w:rFonts w:ascii="Times New Roman" w:hAnsi="Times New Roman"/>
      <w:sz w:val="21"/>
      <w:szCs w:val="21"/>
    </w:rPr>
  </w:style>
  <w:style w:type="paragraph" w:styleId="64">
    <w:name w:val="List Paragraph"/>
    <w:basedOn w:val="1"/>
    <w:qFormat/>
    <w:uiPriority w:val="34"/>
    <w:pPr>
      <w:widowControl/>
      <w:ind w:firstLine="420" w:firstLineChars="200"/>
      <w:jc w:val="left"/>
    </w:pPr>
    <w:rPr>
      <w:rFonts w:ascii="宋体" w:hAnsi="宋体" w:cs="宋体"/>
      <w:kern w:val="0"/>
    </w:rPr>
  </w:style>
  <w:style w:type="character" w:customStyle="1" w:styleId="65">
    <w:name w:val="apple-converted-space"/>
    <w:qFormat/>
    <w:uiPriority w:val="0"/>
  </w:style>
  <w:style w:type="character" w:customStyle="1" w:styleId="66">
    <w:name w:val="正文文本 字符"/>
    <w:link w:val="10"/>
    <w:qFormat/>
    <w:locked/>
    <w:uiPriority w:val="0"/>
    <w:rPr>
      <w:rFonts w:ascii="Arial Narrow" w:hAnsi="Arial Narrow" w:cs="Arial"/>
      <w:kern w:val="24"/>
      <w:sz w:val="24"/>
      <w:szCs w:val="24"/>
      <w:lang w:eastAsia="fr-FR"/>
    </w:rPr>
  </w:style>
  <w:style w:type="character" w:customStyle="1" w:styleId="67">
    <w:name w:val="font11"/>
    <w:basedOn w:val="3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15</Pages>
  <Words>5511</Words>
  <Characters>6166</Characters>
  <Lines>312</Lines>
  <Paragraphs>369</Paragraphs>
  <TotalTime>5</TotalTime>
  <ScaleCrop>false</ScaleCrop>
  <LinksUpToDate>false</LinksUpToDate>
  <CharactersWithSpaces>6289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2024-12-15T10:05:00Z</dcterms:created>
  <dc:creator>微软用户</dc:creator>
  <cp:lastModifiedBy>再来</cp:lastModifiedBy>
  <cp:lastPrinted>2024-03-25T03:26:00Z</cp:lastPrinted>
  <dcterms:modified xsi:type="dcterms:W3CDTF">2026-07-09T12:55:34Z</dcterms:modified>
  <dc:title>                                                 </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D521875EC5554124B9D9B95F706FD415_13</vt:lpwstr>
  </property>
  <property fmtid="{D5CDD505-2E9C-101B-9397-08002B2CF9AE}" pid="4" name="KSOTemplateDocerSaveRecord">
    <vt:lpwstr>eyJoZGlkIjoiZGQ5OTliYmYxNDQ4YTQxOWJmZDQ2ZGRmNDA4MTEwNWMiLCJ1c2VySWQiOiIyNDE0Nzk4MjQifQ==</vt:lpwstr>
  </property>
</Properties>
</file>